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77" w:rsidRPr="00587A77" w:rsidRDefault="00587A77" w:rsidP="00587A77">
      <w:r w:rsidRPr="00587A77">
        <w:t>Използвани съкращения</w:t>
      </w:r>
      <w:r w:rsidRPr="00587A77">
        <w:br/>
        <w:t>Предговор</w:t>
      </w:r>
      <w:r w:rsidRPr="00587A77">
        <w:br/>
        <w:t>Въведение</w:t>
      </w:r>
      <w:r w:rsidRPr="00587A77">
        <w:br/>
      </w:r>
      <w:r w:rsidRPr="00587A77">
        <w:rPr>
          <w:b/>
          <w:bCs/>
        </w:rPr>
        <w:t>Правата на човека и забраната за дискриминация</w:t>
      </w:r>
    </w:p>
    <w:p w:rsidR="00587A77" w:rsidRPr="00587A77" w:rsidRDefault="00587A77" w:rsidP="00587A77">
      <w:pPr>
        <w:numPr>
          <w:ilvl w:val="0"/>
          <w:numId w:val="1"/>
        </w:numPr>
      </w:pPr>
      <w:r w:rsidRPr="00587A77">
        <w:t>Разнообразие и дискриминация. Личност и общество</w:t>
      </w:r>
    </w:p>
    <w:p w:rsidR="00587A77" w:rsidRPr="00587A77" w:rsidRDefault="00587A77" w:rsidP="00587A77">
      <w:pPr>
        <w:numPr>
          <w:ilvl w:val="1"/>
          <w:numId w:val="1"/>
        </w:numPr>
      </w:pPr>
      <w:r w:rsidRPr="00587A77">
        <w:t>Забраната за дискриминация и различията в обществото</w:t>
      </w:r>
    </w:p>
    <w:p w:rsidR="00587A77" w:rsidRPr="00587A77" w:rsidRDefault="00587A77" w:rsidP="00587A77">
      <w:pPr>
        <w:numPr>
          <w:ilvl w:val="1"/>
          <w:numId w:val="1"/>
        </w:numPr>
      </w:pPr>
      <w:r w:rsidRPr="00587A77">
        <w:t>Забраната за дискриминация в контекста на поколенията права на човека</w:t>
      </w:r>
    </w:p>
    <w:p w:rsidR="00587A77" w:rsidRPr="00587A77" w:rsidRDefault="00587A77" w:rsidP="00587A77">
      <w:pPr>
        <w:numPr>
          <w:ilvl w:val="0"/>
          <w:numId w:val="1"/>
        </w:numPr>
      </w:pPr>
      <w:r w:rsidRPr="00587A77">
        <w:t>Защитата от дискриминация като нов етап в развитието на защитата на правата на човека</w:t>
      </w:r>
    </w:p>
    <w:p w:rsidR="00587A77" w:rsidRPr="00587A77" w:rsidRDefault="00587A77" w:rsidP="00587A77">
      <w:pPr>
        <w:numPr>
          <w:ilvl w:val="1"/>
          <w:numId w:val="1"/>
        </w:numPr>
      </w:pPr>
      <w:r w:rsidRPr="00587A77">
        <w:t>Забраната за дискриминация в защитното законодателство</w:t>
      </w:r>
    </w:p>
    <w:p w:rsidR="00587A77" w:rsidRPr="00587A77" w:rsidRDefault="00587A77" w:rsidP="00587A77">
      <w:pPr>
        <w:numPr>
          <w:ilvl w:val="1"/>
          <w:numId w:val="1"/>
        </w:numPr>
      </w:pPr>
      <w:r w:rsidRPr="00587A77">
        <w:t>Правото на недискриминация като основно човешко право</w:t>
      </w:r>
    </w:p>
    <w:p w:rsidR="00587A77" w:rsidRPr="00587A77" w:rsidRDefault="00587A77" w:rsidP="00587A77">
      <w:pPr>
        <w:numPr>
          <w:ilvl w:val="1"/>
          <w:numId w:val="1"/>
        </w:numPr>
      </w:pPr>
      <w:r w:rsidRPr="00587A77">
        <w:t>Защита от дискриминация като функционално задължение на държавата</w:t>
      </w:r>
    </w:p>
    <w:p w:rsidR="00587A77" w:rsidRPr="00587A77" w:rsidRDefault="00587A77" w:rsidP="00587A77">
      <w:r w:rsidRPr="00587A77">
        <w:rPr>
          <w:b/>
          <w:bCs/>
        </w:rPr>
        <w:t>Забраната за дискриминация в международното право и в правото на Европейския съюз</w:t>
      </w:r>
    </w:p>
    <w:p w:rsidR="00587A77" w:rsidRPr="00587A77" w:rsidRDefault="00587A77" w:rsidP="00587A77">
      <w:pPr>
        <w:numPr>
          <w:ilvl w:val="0"/>
          <w:numId w:val="2"/>
        </w:numPr>
      </w:pPr>
      <w:r w:rsidRPr="00587A77">
        <w:t>Същност на международноправната защита от дискриминация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t>Особености на международноправната защита от дискриминация при гарантиране на универсалността на правата на човека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t>Международeн мониторинг за гарантиране спазването на международните актове, въвеждащи забрана за дискриминация</w:t>
      </w:r>
    </w:p>
    <w:p w:rsidR="00587A77" w:rsidRPr="00587A77" w:rsidRDefault="00587A77" w:rsidP="00587A77">
      <w:pPr>
        <w:numPr>
          <w:ilvl w:val="0"/>
          <w:numId w:val="2"/>
        </w:numPr>
      </w:pPr>
      <w:r w:rsidRPr="00587A77">
        <w:t>Забраната за дискриминация в универсалната система за защита правата на човека - Организация на обединените нации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t>Забраната за дискриминация съгласно чл. 7 от Всеобщата декларация за правата на човека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t>Забраната за дискриминация съгласно чл. 26 от Международния пакт за граждански и политически права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t>Забраната за дискриминация съгласно Международния пакт за икономически, социални и културни права и други международни актове, приети от ООН</w:t>
      </w:r>
    </w:p>
    <w:p w:rsidR="00587A77" w:rsidRPr="00587A77" w:rsidRDefault="00587A77" w:rsidP="00587A77">
      <w:pPr>
        <w:numPr>
          <w:ilvl w:val="0"/>
          <w:numId w:val="2"/>
        </w:numPr>
      </w:pPr>
      <w:r w:rsidRPr="00587A77">
        <w:t>Забраната за дискриминация съгласно Европейската конвенция за защита правата на човека и основните свободи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t>Абсолютната забрана за дискриминация съгласно чл. 14 от Европейската конвенция за защита правата на човека и основните свободи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lastRenderedPageBreak/>
        <w:t>Общата забрана за дискриминация съгласно Протокол 12 към Европейската конвенция за защита правата на човека и основните свободи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t>Практика на Европейския съд по правата на човека при прилагане на чл. 14 от Европейската конвенция за защита правата на човека и основните свободи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t>Практика на Европейския съд по правата на човека при защита от дискриминация по дела срещу България</w:t>
      </w:r>
    </w:p>
    <w:p w:rsidR="00587A77" w:rsidRPr="00587A77" w:rsidRDefault="00587A77" w:rsidP="00587A77">
      <w:pPr>
        <w:numPr>
          <w:ilvl w:val="0"/>
          <w:numId w:val="2"/>
        </w:numPr>
      </w:pPr>
      <w:r w:rsidRPr="00587A77">
        <w:t>Единство в многообразието - принципът на недискриминация в правото на Европейския съюз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t>Забраната за дискриминация и Хартата на основните права на Европейския съюз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t>Имплементиране на забраната за дискриминация като принцип в правото на Европейския съюз</w:t>
      </w:r>
    </w:p>
    <w:p w:rsidR="00587A77" w:rsidRPr="00587A77" w:rsidRDefault="00587A77" w:rsidP="00587A77">
      <w:pPr>
        <w:numPr>
          <w:ilvl w:val="1"/>
          <w:numId w:val="2"/>
        </w:numPr>
      </w:pPr>
      <w:r w:rsidRPr="00587A77">
        <w:t>Имплементиране на антидискриминационното право на ЕС в българското право</w:t>
      </w:r>
    </w:p>
    <w:p w:rsidR="00587A77" w:rsidRPr="00587A77" w:rsidRDefault="00587A77" w:rsidP="00587A77">
      <w:r w:rsidRPr="00587A77">
        <w:rPr>
          <w:b/>
          <w:bCs/>
        </w:rPr>
        <w:t>Абсолютната забрана за дискриминация в българското право</w:t>
      </w:r>
    </w:p>
    <w:p w:rsidR="00587A77" w:rsidRPr="00587A77" w:rsidRDefault="00587A77" w:rsidP="00587A77">
      <w:pPr>
        <w:numPr>
          <w:ilvl w:val="0"/>
          <w:numId w:val="3"/>
        </w:numPr>
      </w:pPr>
      <w:r w:rsidRPr="00587A77">
        <w:t>Абсолютната забрана за дискриминация съгласно Конституцията на Република България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Принципът за равенството пред закона и забрана за дискриминация в Конституцията на РБ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Приносът на Конституционния съд на Република България за утвърждаване на принципа на равните права и забраната на дискриминацията</w:t>
      </w:r>
    </w:p>
    <w:p w:rsidR="00587A77" w:rsidRPr="00587A77" w:rsidRDefault="00587A77" w:rsidP="00587A77">
      <w:pPr>
        <w:numPr>
          <w:ilvl w:val="0"/>
          <w:numId w:val="3"/>
        </w:numPr>
      </w:pPr>
      <w:r w:rsidRPr="00587A77">
        <w:t>Защита от дискриминация в дейността на законодателната, изпълнителната и съдебната власт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Защита от дискриминация в законодателната дейност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Защита от дискриминация в дейността на органите на изпълнителната власт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Защита от дискриминация в дейността на съдебната власт</w:t>
      </w:r>
    </w:p>
    <w:p w:rsidR="00587A77" w:rsidRPr="00587A77" w:rsidRDefault="00587A77" w:rsidP="00587A77">
      <w:pPr>
        <w:numPr>
          <w:ilvl w:val="0"/>
          <w:numId w:val="3"/>
        </w:numPr>
      </w:pPr>
      <w:r w:rsidRPr="00587A77">
        <w:t>Форми и видове дискриминация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Разграничителни критерии между формите и видовете дискриминация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Пряка дискриминация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Непряка дискриминация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Тормоз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Подбуждане и подпомагане към дискриминация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lastRenderedPageBreak/>
        <w:t>Преследване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Расова сегрегация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Изграждането и поддържането на архитектурна среда, която затруднява достъпа на лица с увреждания до публични места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Субекти на дискриминация. Пострадали от дискриминация и неравно третирани лица</w:t>
      </w:r>
    </w:p>
    <w:p w:rsidR="00587A77" w:rsidRPr="00587A77" w:rsidRDefault="00587A77" w:rsidP="00587A77">
      <w:pPr>
        <w:numPr>
          <w:ilvl w:val="0"/>
          <w:numId w:val="3"/>
        </w:numPr>
      </w:pPr>
      <w:r w:rsidRPr="00587A77">
        <w:t>Комисия за защита от дискриминация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Статут на Комисията за защита от дискриминацията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Правомощия на Комисията за защита от дискриминация</w:t>
      </w:r>
    </w:p>
    <w:p w:rsidR="00587A77" w:rsidRPr="00587A77" w:rsidRDefault="00587A77" w:rsidP="00587A77">
      <w:pPr>
        <w:numPr>
          <w:ilvl w:val="1"/>
          <w:numId w:val="3"/>
        </w:numPr>
      </w:pPr>
      <w:r w:rsidRPr="00587A77">
        <w:t>Производство пред Комисията за защита от дискриминация</w:t>
      </w:r>
    </w:p>
    <w:p w:rsidR="00587A77" w:rsidRPr="00587A77" w:rsidRDefault="00587A77" w:rsidP="00587A77">
      <w:r w:rsidRPr="00587A77">
        <w:rPr>
          <w:b/>
          <w:bCs/>
        </w:rPr>
        <w:t>Наказателноправна защита от дискриминация</w:t>
      </w:r>
    </w:p>
    <w:p w:rsidR="00587A77" w:rsidRPr="00587A77" w:rsidRDefault="00587A77" w:rsidP="00587A77">
      <w:pPr>
        <w:numPr>
          <w:ilvl w:val="0"/>
          <w:numId w:val="4"/>
        </w:numPr>
      </w:pPr>
      <w:r w:rsidRPr="00587A77">
        <w:t>Дискриминацията като престъпление. Понятие за престъпление от омраза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Особености на наказателноправната защита от дискриминация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Понятие за престъпление от омраза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Социални характеристики на престъпленията от омраза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Законодателни модели на престъпленията от омраза</w:t>
      </w:r>
    </w:p>
    <w:p w:rsidR="00587A77" w:rsidRPr="00587A77" w:rsidRDefault="00587A77" w:rsidP="00587A77">
      <w:pPr>
        <w:numPr>
          <w:ilvl w:val="0"/>
          <w:numId w:val="4"/>
        </w:numPr>
      </w:pPr>
      <w:r w:rsidRPr="00587A77">
        <w:t>Правна рамка на престъпленията от омраза в Европейския съюз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Расистки и ксенофобски изказвания, подбуждащи към омраза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Престъпленията от омраза по расистки и ксенофобски подбуди</w:t>
      </w:r>
    </w:p>
    <w:p w:rsidR="00587A77" w:rsidRPr="00587A77" w:rsidRDefault="00587A77" w:rsidP="00587A77">
      <w:pPr>
        <w:numPr>
          <w:ilvl w:val="0"/>
          <w:numId w:val="4"/>
        </w:numPr>
      </w:pPr>
      <w:r w:rsidRPr="00587A77">
        <w:t>Дискриминационните престъпления в българския Наказателен кодекс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Критерий за систематизация на престъпленията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Унищожаване на групи от населението (геноцид) и апартейд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Престъпления против правата на гражданите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Престъпления, при които дискриминационният мотив е предвиден като квалифициращ признак от състава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Престъпления, при които дискриминационният мотив е отегчаващо наказателната отговорност обстоятелство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lastRenderedPageBreak/>
        <w:t>Критичен анализ на съставите на престъпленията от омраза в българското наказателно законодателство</w:t>
      </w:r>
    </w:p>
    <w:p w:rsidR="00587A77" w:rsidRPr="00587A77" w:rsidRDefault="00587A77" w:rsidP="00587A77">
      <w:pPr>
        <w:numPr>
          <w:ilvl w:val="0"/>
          <w:numId w:val="4"/>
        </w:numPr>
      </w:pPr>
      <w:r w:rsidRPr="00587A77">
        <w:t>Особености при разкриването и разследването на престъпления от омраза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Индикатори за дискриминационния мотив на престъплението</w:t>
      </w:r>
    </w:p>
    <w:p w:rsidR="00587A77" w:rsidRPr="00587A77" w:rsidRDefault="00587A77" w:rsidP="00587A77">
      <w:pPr>
        <w:numPr>
          <w:ilvl w:val="1"/>
          <w:numId w:val="4"/>
        </w:numPr>
      </w:pPr>
      <w:r w:rsidRPr="00587A77">
        <w:t>Трудности при разкриването и разследването на престъпления с дискриминационен мотив</w:t>
      </w:r>
    </w:p>
    <w:p w:rsidR="00747A48" w:rsidRDefault="00587A77" w:rsidP="00587A77">
      <w:r w:rsidRPr="00587A77">
        <w:t>Заключение</w:t>
      </w:r>
      <w:r w:rsidRPr="00587A77">
        <w:br/>
        <w:t>Цитирана литература</w:t>
      </w:r>
      <w:r w:rsidRPr="00587A77">
        <w:br/>
        <w:t>Цитирана съдебна практика</w:t>
      </w:r>
      <w:r w:rsidRPr="00587A77">
        <w:br/>
        <w:t>Съдържание на английски</w:t>
      </w:r>
      <w:r w:rsidRPr="00587A77">
        <w:br/>
        <w:t>Резюме на английски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A96"/>
    <w:multiLevelType w:val="multilevel"/>
    <w:tmpl w:val="A850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33B45"/>
    <w:multiLevelType w:val="multilevel"/>
    <w:tmpl w:val="E71C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456DF"/>
    <w:multiLevelType w:val="multilevel"/>
    <w:tmpl w:val="F20E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83223"/>
    <w:multiLevelType w:val="multilevel"/>
    <w:tmpl w:val="35F6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87"/>
    <w:rsid w:val="00587A77"/>
    <w:rsid w:val="00614B70"/>
    <w:rsid w:val="00747A48"/>
    <w:rsid w:val="00B2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2023-06-28T09:00:00Z</dcterms:created>
  <dcterms:modified xsi:type="dcterms:W3CDTF">2023-06-28T09:00:00Z</dcterms:modified>
</cp:coreProperties>
</file>