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F3" w:rsidRDefault="00FD6249">
      <w:r>
        <w:rPr>
          <w:rFonts w:ascii="Verdana" w:hAnsi="Verdana"/>
          <w:color w:val="000000"/>
          <w:sz w:val="18"/>
          <w:szCs w:val="18"/>
        </w:rPr>
        <w:t>СЪДЪРЖАНИЕ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Предговор  /9</w:t>
      </w:r>
      <w:r>
        <w:rPr>
          <w:rFonts w:ascii="Verdana" w:hAnsi="Verdana"/>
          <w:color w:val="000000"/>
          <w:sz w:val="18"/>
          <w:szCs w:val="18"/>
        </w:rPr>
        <w:br/>
        <w:t>Въведение  /13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Първа глава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История на парламентарния контрол върху правителството. Възникване и формиране на модела на „класическото“ парламентарно управление във Великобритания и неговото влияние в Европа</w:t>
      </w:r>
      <w:r>
        <w:rPr>
          <w:rFonts w:ascii="Verdana" w:hAnsi="Verdana"/>
          <w:color w:val="000000"/>
          <w:sz w:val="18"/>
          <w:szCs w:val="18"/>
        </w:rPr>
        <w:t>  /29</w:t>
      </w:r>
      <w:r>
        <w:rPr>
          <w:rFonts w:ascii="Verdana" w:hAnsi="Verdana"/>
          <w:color w:val="000000"/>
          <w:sz w:val="18"/>
          <w:szCs w:val="18"/>
        </w:rPr>
        <w:br/>
        <w:t>§1.     Наченки на парламентарен контрол в Англия преди „Славната революция“  /31</w:t>
      </w:r>
      <w:r>
        <w:rPr>
          <w:rFonts w:ascii="Verdana" w:hAnsi="Verdana"/>
          <w:color w:val="000000"/>
          <w:sz w:val="18"/>
          <w:szCs w:val="18"/>
        </w:rPr>
        <w:br/>
        <w:t>§2.     Контролът на парламента в контекста на ранния парламентаризъм /55</w:t>
      </w:r>
      <w:r>
        <w:rPr>
          <w:rFonts w:ascii="Verdana" w:hAnsi="Verdana"/>
          <w:color w:val="000000"/>
          <w:sz w:val="18"/>
          <w:szCs w:val="18"/>
        </w:rPr>
        <w:br/>
        <w:t>§3.     Парламентарна отговорност и контрол през ХІХ в. – първата половина на ХХ в. при класическия парламентаризъм /93</w:t>
      </w:r>
      <w:r>
        <w:rPr>
          <w:rFonts w:ascii="Verdana" w:hAnsi="Verdana"/>
          <w:color w:val="000000"/>
          <w:sz w:val="18"/>
          <w:szCs w:val="18"/>
        </w:rPr>
        <w:br/>
        <w:t>§4.     Парламентарен контрол и отговорност на Министерския съвет по Търновската конституция /131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Втора глава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Теория на парламентарния контрол в контекста на „рационализирания“ парламентаризъм след Втората световна война</w:t>
      </w:r>
      <w:r>
        <w:rPr>
          <w:rFonts w:ascii="Verdana" w:hAnsi="Verdana"/>
          <w:color w:val="000000"/>
          <w:sz w:val="18"/>
          <w:szCs w:val="18"/>
        </w:rPr>
        <w:t> /167</w:t>
      </w:r>
      <w:r>
        <w:rPr>
          <w:rFonts w:ascii="Verdana" w:hAnsi="Verdana"/>
          <w:color w:val="000000"/>
          <w:sz w:val="18"/>
          <w:szCs w:val="18"/>
        </w:rPr>
        <w:br/>
        <w:t>§1.     Двата модела на парламентарна демокрация – сходства и различия /169</w:t>
      </w:r>
      <w:r>
        <w:rPr>
          <w:rFonts w:ascii="Verdana" w:hAnsi="Verdana"/>
          <w:color w:val="000000"/>
          <w:sz w:val="18"/>
          <w:szCs w:val="18"/>
        </w:rPr>
        <w:br/>
        <w:t>§2.     Първата вълна на „рационализация“ на парламентаризма (Италия, Германия) /222</w:t>
      </w:r>
      <w:r>
        <w:rPr>
          <w:rFonts w:ascii="Verdana" w:hAnsi="Verdana"/>
          <w:color w:val="000000"/>
          <w:sz w:val="18"/>
          <w:szCs w:val="18"/>
        </w:rPr>
        <w:br/>
        <w:t>§3.     Втората вълна на „рационализация“ на парламентаризма (Гърция, Португалия, Испания) /262</w:t>
      </w:r>
      <w:r>
        <w:rPr>
          <w:rFonts w:ascii="Verdana" w:hAnsi="Verdana"/>
          <w:color w:val="000000"/>
          <w:sz w:val="18"/>
          <w:szCs w:val="18"/>
        </w:rPr>
        <w:br/>
        <w:t>§4.     Начало на третата вълна на „рационализация“ на парламентаризма /284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Трета глава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Парламентарен контрол в България при действието на Конституцията от 1991 г.</w:t>
      </w:r>
      <w:r>
        <w:rPr>
          <w:rFonts w:ascii="Verdana" w:hAnsi="Verdana"/>
          <w:color w:val="000000"/>
          <w:sz w:val="18"/>
          <w:szCs w:val="18"/>
        </w:rPr>
        <w:t> /319</w:t>
      </w:r>
      <w:r>
        <w:rPr>
          <w:rFonts w:ascii="Verdana" w:hAnsi="Verdana"/>
          <w:color w:val="000000"/>
          <w:sz w:val="18"/>
          <w:szCs w:val="18"/>
        </w:rPr>
        <w:br/>
        <w:t>§1.      Съвременният модел на парламентарна демокрация в България – особености /321</w:t>
      </w:r>
      <w:r>
        <w:rPr>
          <w:rFonts w:ascii="Verdana" w:hAnsi="Verdana"/>
          <w:color w:val="000000"/>
          <w:sz w:val="18"/>
          <w:szCs w:val="18"/>
        </w:rPr>
        <w:br/>
        <w:t>§2.    Народното събрание и политическото представителство в Република България /354</w:t>
      </w:r>
      <w:r>
        <w:rPr>
          <w:rFonts w:ascii="Verdana" w:hAnsi="Verdana"/>
          <w:color w:val="000000"/>
          <w:sz w:val="18"/>
          <w:szCs w:val="18"/>
        </w:rPr>
        <w:br/>
        <w:t>§3.     Същност на парламентарния контрол /402</w:t>
      </w:r>
      <w:r>
        <w:rPr>
          <w:rFonts w:ascii="Verdana" w:hAnsi="Verdana"/>
          <w:color w:val="000000"/>
          <w:sz w:val="18"/>
          <w:szCs w:val="18"/>
        </w:rPr>
        <w:br/>
        <w:t>§4.     Форми на парламентарен контрол. Последици от упражняването му /423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Заключение /465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Приложения /477</w:t>
      </w:r>
      <w:r>
        <w:rPr>
          <w:rFonts w:ascii="Verdana" w:hAnsi="Verdana"/>
          <w:color w:val="000000"/>
          <w:sz w:val="18"/>
          <w:szCs w:val="18"/>
        </w:rPr>
        <w:br/>
        <w:t>Приложение № 1 (отправени питания и интерпелации при действието на Търновската конституция в периода 1879 – 1946 г.) /477</w:t>
      </w:r>
      <w:r>
        <w:rPr>
          <w:rFonts w:ascii="Verdana" w:hAnsi="Verdana"/>
          <w:color w:val="000000"/>
          <w:sz w:val="18"/>
          <w:szCs w:val="18"/>
        </w:rPr>
        <w:br/>
        <w:t>Приложение № 2 (отправени въпроси и питания по време на VІІ ВНС и при действието на Конституцията през периода 1990 – 2021 г.) / 478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Библиография /487</w:t>
      </w:r>
      <w:bookmarkStart w:id="0" w:name="_GoBack"/>
      <w:bookmarkEnd w:id="0"/>
    </w:p>
    <w:sectPr w:rsidR="002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4A"/>
    <w:rsid w:val="002312F3"/>
    <w:rsid w:val="00C2054A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6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2021-04-29T05:14:00Z</dcterms:created>
  <dcterms:modified xsi:type="dcterms:W3CDTF">2021-04-29T05:14:00Z</dcterms:modified>
</cp:coreProperties>
</file>