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F1" w:rsidRDefault="00FF0A19" w:rsidP="00FF0A19">
      <w:pPr>
        <w:spacing w:line="240" w:lineRule="auto"/>
      </w:pPr>
      <w:r>
        <w:rPr>
          <w:rStyle w:val="Strong"/>
          <w:rFonts w:ascii="Arial" w:hAnsi="Arial" w:cs="Arial"/>
          <w:color w:val="4D4D4D"/>
          <w:shd w:val="clear" w:color="auto" w:fill="FFFFFF"/>
        </w:rPr>
        <w:t>Съдържание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>Предговор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>1. Краят на двуполюсния свят и агонията на СФРЮ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>2. XIV конгрес на СЮК — хроника на една предизвестена смърт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>3. Появата на многопартийността — прекият път към югославския разпад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Детитовизацията</w:t>
      </w:r>
      <w:proofErr w:type="spellEnd"/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Сецесията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и национализмът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 xml:space="preserve">6. Социалистическа република Македония — от югославския към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постюгославския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македонизъм</w:t>
      </w:r>
      <w:proofErr w:type="spellEnd"/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>7. Неизбежното начало на безвъзвратния край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>8. Демокрация по сръбски, обвита в облаци от сълзотворен газ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>9. Стремглавото пропадане към бездната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>10. Кръвта потича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 xml:space="preserve">11.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Завихрянето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на бурята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>12. Джобната война в Словения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>13. Хърватско — война, наситена с омраза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>14. Войната като продължение на дипломацията и дипломацията като продължение на безпомощността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>15. От преврат към деградация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>16. Босна и Херцеговина — накъде?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>17. Скопската „вилица“ и открояващият се български „зъб“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hd w:val="clear" w:color="auto" w:fill="FFFFFF"/>
        </w:rPr>
        <w:t>18. Краят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</w:rPr>
        <w:br/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Послеслов</w:t>
      </w:r>
      <w:bookmarkStart w:id="0" w:name="_GoBack"/>
      <w:bookmarkEnd w:id="0"/>
      <w:proofErr w:type="spellEnd"/>
    </w:p>
    <w:sectPr w:rsidR="00BA2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73"/>
    <w:rsid w:val="00457073"/>
    <w:rsid w:val="00BA27F1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A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2021-03-29T11:40:00Z</dcterms:created>
  <dcterms:modified xsi:type="dcterms:W3CDTF">2021-03-29T11:41:00Z</dcterms:modified>
</cp:coreProperties>
</file>