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76" w:rsidRPr="00F71776" w:rsidRDefault="00F71776" w:rsidP="00F71776">
      <w:r w:rsidRPr="00F71776">
        <w:t>Предговор</w:t>
      </w:r>
      <w:r w:rsidRPr="00F71776">
        <w:br/>
        <w:t>Увод</w:t>
      </w:r>
      <w:r w:rsidRPr="00F71776">
        <w:br/>
      </w:r>
      <w:r w:rsidRPr="00F71776">
        <w:rPr>
          <w:b/>
          <w:bCs/>
        </w:rPr>
        <w:t>Общи положения</w:t>
      </w:r>
    </w:p>
    <w:p w:rsidR="00F71776" w:rsidRPr="00F71776" w:rsidRDefault="00F71776" w:rsidP="00F71776">
      <w:pPr>
        <w:numPr>
          <w:ilvl w:val="0"/>
          <w:numId w:val="1"/>
        </w:numPr>
      </w:pPr>
      <w:r w:rsidRPr="00F71776">
        <w:t>Историческо развитие на залога на търговското предприятие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Особеният залог в Римското право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Генезисът на залога на търговското предприятие в Англия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Обобщение</w:t>
      </w:r>
    </w:p>
    <w:p w:rsidR="00F71776" w:rsidRPr="00F71776" w:rsidRDefault="00F71776" w:rsidP="00F71776">
      <w:pPr>
        <w:numPr>
          <w:ilvl w:val="0"/>
          <w:numId w:val="1"/>
        </w:numPr>
      </w:pPr>
      <w:proofErr w:type="spellStart"/>
      <w:r w:rsidRPr="00F71776">
        <w:t>Сравнителноправен</w:t>
      </w:r>
      <w:proofErr w:type="spellEnd"/>
      <w:r w:rsidRPr="00F71776">
        <w:t xml:space="preserve"> анализ на уредбата в други правни системи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Залогът на търговско предприятие в Англия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Залогът на търговско предприятие във Франция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Залогът на търговско предприятие в Белгия</w:t>
      </w:r>
    </w:p>
    <w:p w:rsidR="00F71776" w:rsidRPr="00F71776" w:rsidRDefault="00F71776" w:rsidP="00F71776">
      <w:pPr>
        <w:numPr>
          <w:ilvl w:val="0"/>
          <w:numId w:val="1"/>
        </w:numPr>
      </w:pPr>
      <w:r w:rsidRPr="00F71776">
        <w:t>Развитие на правната уредба на особения залог в България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Историческо развитие на особения залог в българското право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Законът - модел за обезпечителните сделки и Законът за особените залози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Действаща нормативна уредба</w:t>
      </w:r>
    </w:p>
    <w:p w:rsidR="00F71776" w:rsidRPr="00F71776" w:rsidRDefault="00F71776" w:rsidP="00F71776">
      <w:pPr>
        <w:numPr>
          <w:ilvl w:val="0"/>
          <w:numId w:val="1"/>
        </w:numPr>
      </w:pPr>
      <w:r w:rsidRPr="00F71776">
        <w:t>Понятие за търговското предприятие. Състав на предприятието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Юридически характеристики на търговското предприятие</w:t>
      </w:r>
    </w:p>
    <w:p w:rsidR="00F71776" w:rsidRPr="00F71776" w:rsidRDefault="00F71776" w:rsidP="00F71776">
      <w:pPr>
        <w:numPr>
          <w:ilvl w:val="1"/>
          <w:numId w:val="1"/>
        </w:numPr>
      </w:pPr>
      <w:r w:rsidRPr="00F71776">
        <w:t>Състав на заложеното търговско предприятие</w:t>
      </w:r>
    </w:p>
    <w:p w:rsidR="00F71776" w:rsidRPr="00F71776" w:rsidRDefault="00F71776" w:rsidP="00F71776">
      <w:r w:rsidRPr="00F71776">
        <w:rPr>
          <w:b/>
          <w:bCs/>
        </w:rPr>
        <w:t>Заложно право върху търговско предприятие</w:t>
      </w:r>
    </w:p>
    <w:p w:rsidR="00F71776" w:rsidRPr="00F71776" w:rsidRDefault="00F71776" w:rsidP="00F71776">
      <w:pPr>
        <w:numPr>
          <w:ilvl w:val="0"/>
          <w:numId w:val="2"/>
        </w:numPr>
      </w:pPr>
      <w:r w:rsidRPr="00F71776">
        <w:t>Обект на заложното право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Съвкупността "търговско предприятие" като обект на залога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Част от търговското предприятие като допустим обект на залога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Изключения от обхвата на заложното право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Разпростиране на залога и върху вече обременени с други обезпечения активи от предприятието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 xml:space="preserve">Залог на едно от </w:t>
      </w:r>
      <w:proofErr w:type="spellStart"/>
      <w:r w:rsidRPr="00F71776">
        <w:t>няколкото</w:t>
      </w:r>
      <w:proofErr w:type="spellEnd"/>
      <w:r w:rsidRPr="00F71776">
        <w:t xml:space="preserve"> търговски предприятия на </w:t>
      </w:r>
      <w:proofErr w:type="spellStart"/>
      <w:r w:rsidRPr="00F71776">
        <w:t>залогодателя</w:t>
      </w:r>
      <w:proofErr w:type="spellEnd"/>
    </w:p>
    <w:p w:rsidR="00F71776" w:rsidRPr="00F71776" w:rsidRDefault="00F71776" w:rsidP="00F71776">
      <w:pPr>
        <w:numPr>
          <w:ilvl w:val="0"/>
          <w:numId w:val="2"/>
        </w:numPr>
      </w:pPr>
      <w:r w:rsidRPr="00F71776">
        <w:t>Страни по договора за залог на търговско предприятие</w:t>
      </w:r>
    </w:p>
    <w:p w:rsidR="00F71776" w:rsidRPr="00F71776" w:rsidRDefault="00F71776" w:rsidP="00F71776">
      <w:pPr>
        <w:numPr>
          <w:ilvl w:val="1"/>
          <w:numId w:val="2"/>
        </w:numPr>
      </w:pPr>
      <w:proofErr w:type="spellStart"/>
      <w:r w:rsidRPr="00F71776">
        <w:t>Залогодател</w:t>
      </w:r>
      <w:proofErr w:type="spellEnd"/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Заложен кредитор</w:t>
      </w:r>
    </w:p>
    <w:p w:rsidR="00F71776" w:rsidRPr="00F71776" w:rsidRDefault="00F71776" w:rsidP="00F71776">
      <w:pPr>
        <w:numPr>
          <w:ilvl w:val="0"/>
          <w:numId w:val="2"/>
        </w:numPr>
      </w:pPr>
      <w:r w:rsidRPr="00F71776">
        <w:lastRenderedPageBreak/>
        <w:t>Обезпеченото вземане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Правно значение на обезпеченото вземане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Парично или непарично вземане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Последици при различие между действителен и вписан размер на обезпеченото вземане</w:t>
      </w:r>
    </w:p>
    <w:p w:rsidR="00F71776" w:rsidRPr="00F71776" w:rsidRDefault="00F71776" w:rsidP="00F71776">
      <w:pPr>
        <w:numPr>
          <w:ilvl w:val="0"/>
          <w:numId w:val="2"/>
        </w:numPr>
      </w:pPr>
      <w:r w:rsidRPr="00F71776">
        <w:t>Учредяване на заложното право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Сключване на договора за залог на търговското предприятие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Вписване в търговския регистър</w:t>
      </w:r>
    </w:p>
    <w:p w:rsidR="00F71776" w:rsidRPr="00F71776" w:rsidRDefault="00F71776" w:rsidP="00F71776">
      <w:pPr>
        <w:numPr>
          <w:ilvl w:val="0"/>
          <w:numId w:val="2"/>
        </w:numPr>
      </w:pPr>
      <w:r w:rsidRPr="00F71776">
        <w:t>Действие на вписването на залога на търговско предприятие в търговския регистър и съответните специални регистри, водени за елементите от предприятието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Действие на вписването на залога в търговския регистър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Действие на вписването на залога на предприятие в съответните специални регистри, водени за елементите от предприятието</w:t>
      </w:r>
    </w:p>
    <w:p w:rsidR="00F71776" w:rsidRPr="00F71776" w:rsidRDefault="00F71776" w:rsidP="00F71776">
      <w:pPr>
        <w:numPr>
          <w:ilvl w:val="0"/>
          <w:numId w:val="2"/>
        </w:numPr>
      </w:pPr>
      <w:r w:rsidRPr="00F71776">
        <w:t>Правна същност и характеристики на заложното право върху търговско предприятие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Правна същност на заложното право върху търговско предприятие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Характеристики на заложното право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Обхват на заложното право</w:t>
      </w:r>
    </w:p>
    <w:p w:rsidR="00F71776" w:rsidRPr="00F71776" w:rsidRDefault="00F71776" w:rsidP="00F71776">
      <w:pPr>
        <w:numPr>
          <w:ilvl w:val="0"/>
          <w:numId w:val="2"/>
        </w:numPr>
      </w:pPr>
      <w:r w:rsidRPr="00F71776">
        <w:t>Съдържание на заложното право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Правомощие да се информира за състоянието на обезпечението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Правомощие на заложения кредитор да обяви предсрочна изискуемост на главното вземане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Правомощие да не допуска учредяване на следващ залог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 xml:space="preserve">Правомощие на заложения кредитор да </w:t>
      </w:r>
      <w:proofErr w:type="spellStart"/>
      <w:r w:rsidRPr="00F71776">
        <w:t>препядства</w:t>
      </w:r>
      <w:proofErr w:type="spellEnd"/>
      <w:r w:rsidRPr="00F71776">
        <w:t xml:space="preserve"> реализация на залога на предприятие от следваш заложен кредитор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Правомощие на заложения кредитор да предприеме мерки за запазване на заложеното търговско предприятие и да установи фактическа власт върху отделни елементи от предприятието</w:t>
      </w:r>
    </w:p>
    <w:p w:rsidR="00F71776" w:rsidRPr="00F71776" w:rsidRDefault="00F71776" w:rsidP="00F71776">
      <w:pPr>
        <w:numPr>
          <w:ilvl w:val="1"/>
          <w:numId w:val="2"/>
        </w:numPr>
      </w:pPr>
      <w:r w:rsidRPr="00F71776">
        <w:t>Правомощие на заложения кредитор да реализира обезпечението и да се удовлетвори предпочитано от него</w:t>
      </w:r>
    </w:p>
    <w:p w:rsidR="00F71776" w:rsidRPr="00F71776" w:rsidRDefault="00F71776" w:rsidP="00F71776">
      <w:r w:rsidRPr="00F71776">
        <w:rPr>
          <w:b/>
          <w:bCs/>
        </w:rPr>
        <w:t>Упражняване и погасяване на заложното право върху търговско предприятие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Предпоставки за пристъпване към изпълнението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lastRenderedPageBreak/>
        <w:t>Изискуемост на обезпеченото вземане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 xml:space="preserve">Липса на други производства по принудително изпълнение върху същото имущество - по реда на ГПК, ДОПК, производство по несъстоятелност и по стабилизация на </w:t>
      </w:r>
      <w:proofErr w:type="spellStart"/>
      <w:r w:rsidRPr="00F71776">
        <w:t>залогодателя</w:t>
      </w:r>
      <w:proofErr w:type="spellEnd"/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Вписване на пристъпване към изпълнение в търговския регистър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Активна легитимация за заявяване на вписването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Вписване при наличие на предхождащи запори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 xml:space="preserve">Заявяване на вписване на пристъпването към изпълнение по партидата на </w:t>
      </w:r>
      <w:proofErr w:type="spellStart"/>
      <w:r w:rsidRPr="00F71776">
        <w:t>залогодателя</w:t>
      </w:r>
      <w:proofErr w:type="spellEnd"/>
      <w:r w:rsidRPr="00F71776">
        <w:t xml:space="preserve"> в търговския регистър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Спиране на вписването на пристъпване към изпълнение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Значение на спирането на вписването в търговския регистър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Хипотези за спиране на вписването в търговския регистър на пристъпването към изпълнение върху заложено търговско предприятие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Изводи относно допустимостта на спирането на писване на пристъпване към изпълнение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Действие на вписването на пристъпване към изпълнение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Вписване в търговския регистър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Определяне на състава на обекта на изпълнение чрез вписването в търговския регистър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Последици от вписването на пристъпване към изпълнение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Правомощия на заложения кредитор, възникващи след вписването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Специфични последици от вписването, в зависимост от избрания способ за изпълнение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Концентрация на залога - преминаване върху всеки от елементите от предприятието</w:t>
      </w:r>
    </w:p>
    <w:p w:rsidR="00F71776" w:rsidRPr="00F71776" w:rsidRDefault="00F71776" w:rsidP="00F71776">
      <w:pPr>
        <w:numPr>
          <w:ilvl w:val="1"/>
          <w:numId w:val="3"/>
        </w:numPr>
      </w:pPr>
      <w:proofErr w:type="spellStart"/>
      <w:r w:rsidRPr="00F71776">
        <w:t>Десезиране</w:t>
      </w:r>
      <w:proofErr w:type="spellEnd"/>
      <w:r w:rsidRPr="00F71776">
        <w:t xml:space="preserve"> на управителните органи на </w:t>
      </w:r>
      <w:proofErr w:type="spellStart"/>
      <w:r w:rsidRPr="00F71776">
        <w:t>залогодателя</w:t>
      </w:r>
      <w:proofErr w:type="spellEnd"/>
    </w:p>
    <w:p w:rsidR="00F71776" w:rsidRPr="00F71776" w:rsidRDefault="00F71776" w:rsidP="00F71776">
      <w:pPr>
        <w:numPr>
          <w:ilvl w:val="1"/>
          <w:numId w:val="3"/>
        </w:numPr>
      </w:pPr>
      <w:proofErr w:type="spellStart"/>
      <w:r w:rsidRPr="00F71776">
        <w:t>Непротивопоставимост</w:t>
      </w:r>
      <w:proofErr w:type="spellEnd"/>
      <w:r w:rsidRPr="00F71776">
        <w:t xml:space="preserve"> на сделките на </w:t>
      </w:r>
      <w:proofErr w:type="spellStart"/>
      <w:r w:rsidRPr="00F71776">
        <w:t>залогодателя</w:t>
      </w:r>
      <w:proofErr w:type="spellEnd"/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Други последици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Способи за изпълнение по ЗОЗ върху заложено търговско предприятие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Удовлетворяване от приходите на предприятието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Продажба на цялото предприятие или на обособена част от него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lastRenderedPageBreak/>
        <w:t>Продажба на отделни елементи от предприятието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Удовлетворяване на заложения кредитор от заложеното имущество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Удовлетворяване от приходите от дейността и от цената на заложеното имущество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Определяне на кредиторите, които имат права върху заложеното имущество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Привилегия на вземането на заложения кредитор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Обект на правото на предпочитано удовлетворение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Последици от реализация на залога на търговското предприятие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По отношение на залога на предприятие и на другите залози на същото предприятие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Спрямо особени залози върху елементи от предприятието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Последици спрямо другите обезпечения и обезпечителни мерки върху отделните елементи от предприятието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Погасяване на заложното право върху търговско предприятие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Общи основания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Специални основания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Заличаване на залога на предприятие в търговския регистър и във вторичните регистри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Последици от заличаване на залога на предприятие в търговския регистър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Заличаване на залога с изтичането на петгодишния срок от вписването му в регистъра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Основания и активно легитимирани заявители на заличаване на залога от търговския регистър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Заличаване на залог на предприятие във вторичните регистри</w:t>
      </w:r>
    </w:p>
    <w:p w:rsidR="00F71776" w:rsidRPr="00F71776" w:rsidRDefault="00F71776" w:rsidP="00F71776">
      <w:pPr>
        <w:numPr>
          <w:ilvl w:val="0"/>
          <w:numId w:val="3"/>
        </w:numPr>
      </w:pPr>
      <w:r w:rsidRPr="00F71776">
        <w:t>Заключение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Обобщение</w:t>
      </w:r>
    </w:p>
    <w:p w:rsidR="00F71776" w:rsidRPr="00F71776" w:rsidRDefault="00F71776" w:rsidP="00F71776">
      <w:pPr>
        <w:numPr>
          <w:ilvl w:val="1"/>
          <w:numId w:val="3"/>
        </w:numPr>
      </w:pPr>
      <w:r w:rsidRPr="00F71776">
        <w:t>Предложения за изменения на нормативната уредба</w:t>
      </w:r>
    </w:p>
    <w:p w:rsidR="009133B5" w:rsidRDefault="00F71776" w:rsidP="00F71776">
      <w:r w:rsidRPr="00F71776">
        <w:t>Използвана литература</w:t>
      </w:r>
      <w:bookmarkStart w:id="0" w:name="_GoBack"/>
      <w:bookmarkEnd w:id="0"/>
    </w:p>
    <w:sectPr w:rsidR="0091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6FB6"/>
    <w:multiLevelType w:val="multilevel"/>
    <w:tmpl w:val="EE5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7528E"/>
    <w:multiLevelType w:val="multilevel"/>
    <w:tmpl w:val="BD1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0208A"/>
    <w:multiLevelType w:val="multilevel"/>
    <w:tmpl w:val="04E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76"/>
    <w:rsid w:val="00311A76"/>
    <w:rsid w:val="009133B5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2021-09-30T09:14:00Z</dcterms:created>
  <dcterms:modified xsi:type="dcterms:W3CDTF">2021-09-30T09:14:00Z</dcterms:modified>
</cp:coreProperties>
</file>