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CF" w:rsidRPr="00413ECF" w:rsidRDefault="00413ECF" w:rsidP="00413ECF">
      <w:r w:rsidRPr="00413ECF">
        <w:t>Предговор</w:t>
      </w:r>
      <w:r w:rsidRPr="00413ECF">
        <w:br/>
        <w:t>Списък на използваните съкращения</w:t>
      </w:r>
      <w:r w:rsidRPr="00413ECF">
        <w:br/>
      </w:r>
      <w:r w:rsidRPr="00413ECF">
        <w:rPr>
          <w:b/>
          <w:bCs/>
        </w:rPr>
        <w:t>Понятие за основни права</w:t>
      </w:r>
    </w:p>
    <w:p w:rsidR="00413ECF" w:rsidRPr="00413ECF" w:rsidRDefault="00413ECF" w:rsidP="00413ECF">
      <w:pPr>
        <w:numPr>
          <w:ilvl w:val="0"/>
          <w:numId w:val="1"/>
        </w:numPr>
      </w:pPr>
      <w:r w:rsidRPr="00413ECF">
        <w:t>Същност на основните права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Идеята за правата на човека през вековете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Правата на човека като общочовешки ценности и върховен политически идеал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Правата на човека като защитени основни права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Основните права като върховен правен принцип</w:t>
      </w:r>
    </w:p>
    <w:p w:rsidR="00413ECF" w:rsidRPr="00413ECF" w:rsidRDefault="00413ECF" w:rsidP="00413ECF">
      <w:pPr>
        <w:numPr>
          <w:ilvl w:val="0"/>
          <w:numId w:val="1"/>
        </w:numPr>
      </w:pPr>
      <w:r w:rsidRPr="00413ECF">
        <w:t>Концепцията за правата на човека и видовете основни права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Права на човека, права на личността и права на гражданина - разграничения и терминологични уточнения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Поколенията права на човека и дискусията за индивидуалните и колективните права</w:t>
      </w:r>
    </w:p>
    <w:p w:rsidR="00413ECF" w:rsidRPr="00413ECF" w:rsidRDefault="00413ECF" w:rsidP="00413ECF">
      <w:pPr>
        <w:numPr>
          <w:ilvl w:val="0"/>
          <w:numId w:val="1"/>
        </w:numPr>
      </w:pPr>
      <w:r w:rsidRPr="00413ECF">
        <w:t>Основните права като обект на защита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Историческо развитие на защитата на правата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Правото на защита съгласно чл. 56 от Конституцията на РБ</w:t>
      </w:r>
    </w:p>
    <w:p w:rsidR="00413ECF" w:rsidRPr="00413ECF" w:rsidRDefault="00413ECF" w:rsidP="00413ECF">
      <w:pPr>
        <w:numPr>
          <w:ilvl w:val="1"/>
          <w:numId w:val="1"/>
        </w:numPr>
      </w:pPr>
      <w:r w:rsidRPr="00413ECF">
        <w:t>Правото на защита съгласно международните стандарти за правата на човека</w:t>
      </w:r>
    </w:p>
    <w:p w:rsidR="00413ECF" w:rsidRPr="00413ECF" w:rsidRDefault="00413ECF" w:rsidP="00413ECF">
      <w:r w:rsidRPr="00413ECF">
        <w:rPr>
          <w:b/>
          <w:bCs/>
        </w:rPr>
        <w:t>Национални граници за защита на основните права</w:t>
      </w:r>
    </w:p>
    <w:p w:rsidR="00413ECF" w:rsidRPr="00413ECF" w:rsidRDefault="00413ECF" w:rsidP="00413ECF">
      <w:pPr>
        <w:numPr>
          <w:ilvl w:val="0"/>
          <w:numId w:val="2"/>
        </w:numPr>
      </w:pPr>
      <w:r w:rsidRPr="00413ECF">
        <w:t>Елементи на конституционния статус на личността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Гражданство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Принципи на конституционния статус на личността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Видове основни права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Основни задължения</w:t>
      </w:r>
    </w:p>
    <w:p w:rsidR="00413ECF" w:rsidRPr="00413ECF" w:rsidRDefault="00413ECF" w:rsidP="00413ECF">
      <w:pPr>
        <w:numPr>
          <w:ilvl w:val="0"/>
          <w:numId w:val="2"/>
        </w:numPr>
      </w:pPr>
      <w:r w:rsidRPr="00413ECF">
        <w:t>Гаранции за защита на основните права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Понятие за юридически гаранции за защита на основните права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Видове юридически гаранции за защита на основните права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Национални гаранции за защита на основните права</w:t>
      </w:r>
    </w:p>
    <w:p w:rsidR="00413ECF" w:rsidRPr="00413ECF" w:rsidRDefault="00413ECF" w:rsidP="00413ECF">
      <w:pPr>
        <w:numPr>
          <w:ilvl w:val="0"/>
          <w:numId w:val="2"/>
        </w:numPr>
      </w:pPr>
      <w:r w:rsidRPr="00413ECF">
        <w:lastRenderedPageBreak/>
        <w:t>Функционални и институционални гаранции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Функционални гаранции</w:t>
      </w:r>
    </w:p>
    <w:p w:rsidR="00413ECF" w:rsidRPr="00413ECF" w:rsidRDefault="00413ECF" w:rsidP="00413ECF">
      <w:pPr>
        <w:numPr>
          <w:ilvl w:val="1"/>
          <w:numId w:val="2"/>
        </w:numPr>
      </w:pPr>
      <w:r w:rsidRPr="00413ECF">
        <w:t>Институционални гаранции</w:t>
      </w:r>
    </w:p>
    <w:p w:rsidR="00413ECF" w:rsidRPr="00413ECF" w:rsidRDefault="00413ECF" w:rsidP="00413ECF">
      <w:r w:rsidRPr="00413ECF">
        <w:rPr>
          <w:b/>
          <w:bCs/>
        </w:rPr>
        <w:t>Международна защита на правата на човека</w:t>
      </w:r>
    </w:p>
    <w:p w:rsidR="00413ECF" w:rsidRPr="00413ECF" w:rsidRDefault="00413ECF" w:rsidP="00413ECF">
      <w:pPr>
        <w:numPr>
          <w:ilvl w:val="0"/>
          <w:numId w:val="3"/>
        </w:numPr>
      </w:pPr>
      <w:r w:rsidRPr="00413ECF">
        <w:t>Универсалната система за защита правата на човека в рамките на ООН</w:t>
      </w:r>
    </w:p>
    <w:p w:rsidR="00413ECF" w:rsidRPr="00413ECF" w:rsidRDefault="00413ECF" w:rsidP="00413ECF">
      <w:pPr>
        <w:numPr>
          <w:ilvl w:val="0"/>
          <w:numId w:val="3"/>
        </w:numPr>
      </w:pPr>
      <w:r w:rsidRPr="00413ECF">
        <w:t>Регионални системи за защита правата на човека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Европейска система за защита правата на човека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Интерамеариканска система за защита правата на човека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Африканска система за защита правата на човека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Арабска система за защита правата на човека</w:t>
      </w:r>
    </w:p>
    <w:p w:rsidR="00413ECF" w:rsidRPr="00413ECF" w:rsidRDefault="00413ECF" w:rsidP="00413ECF">
      <w:pPr>
        <w:numPr>
          <w:ilvl w:val="0"/>
          <w:numId w:val="3"/>
        </w:numPr>
      </w:pPr>
      <w:r w:rsidRPr="00413ECF">
        <w:t>Защита правата на човека съгласно ЕКПЧ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Защита на правото живот съгласно чл. 2 от ЕКПЧ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Забраната за изтезанието или нечовешкото или унизително отношение или наказание съгласно чл. 3 от ЕКПЧ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Защита на правото на правото на свобода и сигурност съгласно чл. 5 от ЕКП.Ч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Защита правото на справедлив съдебен процес съгласно чл. 6 от ЕКПЧ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Защита на правото да се участва в демократичния живот в обществото основните свободи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Абсолютната забрана за дискриминация по чл. 14 от ЕКПЧ.</w:t>
      </w:r>
    </w:p>
    <w:p w:rsidR="00413ECF" w:rsidRPr="00413ECF" w:rsidRDefault="00413ECF" w:rsidP="00413ECF">
      <w:pPr>
        <w:numPr>
          <w:ilvl w:val="1"/>
          <w:numId w:val="3"/>
        </w:numPr>
      </w:pPr>
      <w:r w:rsidRPr="00413ECF">
        <w:t>Защита правото на собственост съгласно Протокол № 1 към ЕКПЧ</w:t>
      </w:r>
    </w:p>
    <w:p w:rsidR="00413ECF" w:rsidRPr="00413ECF" w:rsidRDefault="00413ECF" w:rsidP="00413ECF">
      <w:r w:rsidRPr="00413ECF">
        <w:rPr>
          <w:b/>
          <w:bCs/>
        </w:rPr>
        <w:t>Основните права в правото на Европейския съюз</w:t>
      </w:r>
    </w:p>
    <w:p w:rsidR="00413ECF" w:rsidRPr="00413ECF" w:rsidRDefault="00413ECF" w:rsidP="00413ECF">
      <w:pPr>
        <w:numPr>
          <w:ilvl w:val="0"/>
          <w:numId w:val="4"/>
        </w:numPr>
      </w:pPr>
      <w:r w:rsidRPr="00413ECF">
        <w:t>Историческо развитие на закрилата на основните права в правото на ЕС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Първи етап: от учредяването на Европейските общности до създаването на гражданството на ЕС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Втори етап: от изготвянето на Хартата на основните права до Договора от Лисабон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Трети етап: след Договора от Лисабон</w:t>
      </w:r>
    </w:p>
    <w:p w:rsidR="00413ECF" w:rsidRPr="00413ECF" w:rsidRDefault="00413ECF" w:rsidP="00413ECF">
      <w:pPr>
        <w:numPr>
          <w:ilvl w:val="0"/>
          <w:numId w:val="4"/>
        </w:numPr>
      </w:pPr>
      <w:r w:rsidRPr="00413ECF">
        <w:t>Източници на правото на ЕС в областта на закрилата на основните права</w:t>
      </w:r>
    </w:p>
    <w:p w:rsidR="00413ECF" w:rsidRPr="00413ECF" w:rsidRDefault="00413ECF" w:rsidP="00413ECF">
      <w:pPr>
        <w:numPr>
          <w:ilvl w:val="0"/>
          <w:numId w:val="4"/>
        </w:numPr>
      </w:pPr>
      <w:r w:rsidRPr="00413ECF">
        <w:lastRenderedPageBreak/>
        <w:t>Институции и органи на ЕС с функции и компетентност по осигуряването на защитата на основните права</w:t>
      </w:r>
    </w:p>
    <w:p w:rsidR="00413ECF" w:rsidRPr="00413ECF" w:rsidRDefault="00413ECF" w:rsidP="00413ECF">
      <w:pPr>
        <w:numPr>
          <w:ilvl w:val="0"/>
          <w:numId w:val="4"/>
        </w:numPr>
      </w:pPr>
      <w:r w:rsidRPr="00413ECF">
        <w:t>Харта на основните права на ЕС. Обща характеристика и съдържание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Обща характеристика на Хартата на основните права на ЕС. Разграничение между права и принципи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Достойнство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Свободи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Равенство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Солидарност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Гражданство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Правосъдие</w:t>
      </w:r>
    </w:p>
    <w:p w:rsidR="00413ECF" w:rsidRPr="00413ECF" w:rsidRDefault="00413ECF" w:rsidP="00413ECF">
      <w:pPr>
        <w:numPr>
          <w:ilvl w:val="0"/>
          <w:numId w:val="4"/>
        </w:numPr>
      </w:pPr>
      <w:r w:rsidRPr="00413ECF">
        <w:t>Тълкуване и прилагане на Харта на основните права на ЕС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Приложно поле на ХОПЕС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Обхват и тълкуване на ХОПЕС</w:t>
      </w:r>
    </w:p>
    <w:p w:rsidR="00413ECF" w:rsidRPr="00413ECF" w:rsidRDefault="00413ECF" w:rsidP="00413ECF">
      <w:pPr>
        <w:numPr>
          <w:ilvl w:val="1"/>
          <w:numId w:val="4"/>
        </w:numPr>
      </w:pPr>
      <w:r w:rsidRPr="00413ECF">
        <w:t>Степен на закрила на ХОПЕС. Забрана за злоупотреба с право</w:t>
      </w:r>
    </w:p>
    <w:p w:rsidR="00413ECF" w:rsidRPr="00413ECF" w:rsidRDefault="00413ECF" w:rsidP="00413ECF">
      <w:r w:rsidRPr="00413ECF">
        <w:rPr>
          <w:b/>
          <w:bCs/>
        </w:rPr>
        <w:t>Новите въпроси на защитата на основните права</w:t>
      </w:r>
    </w:p>
    <w:p w:rsidR="00413ECF" w:rsidRPr="00413ECF" w:rsidRDefault="00413ECF" w:rsidP="00413ECF">
      <w:pPr>
        <w:numPr>
          <w:ilvl w:val="0"/>
          <w:numId w:val="5"/>
        </w:numPr>
      </w:pPr>
      <w:r w:rsidRPr="00413ECF">
        <w:t>Защита правата на детето и детско правосъдие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Конвенция на ООН за правата на детето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Европейски стандарти за детско правосъдие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Специфични изисквания към съдебното производство с участие на деца</w:t>
      </w:r>
    </w:p>
    <w:p w:rsidR="00413ECF" w:rsidRPr="00413ECF" w:rsidRDefault="00413ECF" w:rsidP="00413ECF">
      <w:pPr>
        <w:numPr>
          <w:ilvl w:val="0"/>
          <w:numId w:val="5"/>
        </w:numPr>
      </w:pPr>
      <w:r w:rsidRPr="00413ECF">
        <w:t>Защита на правата на хората с увреждания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Понятие и социална характеристика на признак увреждане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Права на хората с увреждания съгласно КХУ. Задължения на държавата за зачитане на правата на хората с увреждания и специални мерки за закрила</w:t>
      </w:r>
    </w:p>
    <w:p w:rsidR="00413ECF" w:rsidRPr="00413ECF" w:rsidRDefault="00413ECF" w:rsidP="00413ECF">
      <w:pPr>
        <w:numPr>
          <w:ilvl w:val="0"/>
          <w:numId w:val="5"/>
        </w:numPr>
      </w:pPr>
      <w:r w:rsidRPr="00413ECF">
        <w:t>Защита от домашно насилие и основни права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Домашното насилие като социален и правен проблем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Защита от домашно насилие по ЗЗДН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lastRenderedPageBreak/>
        <w:t>Наказателноправна защита от домашно насилие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Трудности при разследването на престъпления, извършени в условията на домашно насилие</w:t>
      </w:r>
    </w:p>
    <w:p w:rsidR="00413ECF" w:rsidRPr="00413ECF" w:rsidRDefault="00413ECF" w:rsidP="00413ECF">
      <w:pPr>
        <w:numPr>
          <w:ilvl w:val="0"/>
          <w:numId w:val="5"/>
        </w:numPr>
      </w:pPr>
      <w:r w:rsidRPr="00413ECF">
        <w:t>Основните права, интернет и новите информационни технологии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Правото на достъп до интернет и новите информационни технологии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Злоупотреба с права в интернет. Конвенция на Съвета на Европа за престъпленията в кибернетичното пространство</w:t>
      </w:r>
    </w:p>
    <w:p w:rsidR="00413ECF" w:rsidRPr="00413ECF" w:rsidRDefault="00413ECF" w:rsidP="00413ECF">
      <w:pPr>
        <w:numPr>
          <w:ilvl w:val="0"/>
          <w:numId w:val="5"/>
        </w:numPr>
      </w:pPr>
      <w:r w:rsidRPr="00413ECF">
        <w:t>Изкуственият интелект и предизвикателствата пред защитата на основните права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Понятие и обща характеристика на изкуствения интелект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Етични правила</w:t>
      </w:r>
    </w:p>
    <w:p w:rsidR="00413ECF" w:rsidRPr="00413ECF" w:rsidRDefault="00413ECF" w:rsidP="00413ECF">
      <w:pPr>
        <w:numPr>
          <w:ilvl w:val="1"/>
          <w:numId w:val="5"/>
        </w:numPr>
      </w:pPr>
      <w:r w:rsidRPr="00413ECF">
        <w:t>Изкуственият интелект и правата на човека в сферата на правоприлагането</w:t>
      </w:r>
    </w:p>
    <w:p w:rsidR="00747A48" w:rsidRDefault="00413ECF" w:rsidP="00413ECF">
      <w:r w:rsidRPr="00413ECF">
        <w:t>Използвана литература</w:t>
      </w:r>
      <w:bookmarkStart w:id="0" w:name="_GoBack"/>
      <w:bookmarkEnd w:id="0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1FB"/>
    <w:multiLevelType w:val="multilevel"/>
    <w:tmpl w:val="E54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4756B"/>
    <w:multiLevelType w:val="multilevel"/>
    <w:tmpl w:val="C93A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41AF9"/>
    <w:multiLevelType w:val="multilevel"/>
    <w:tmpl w:val="D786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50B40"/>
    <w:multiLevelType w:val="multilevel"/>
    <w:tmpl w:val="B43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03916"/>
    <w:multiLevelType w:val="multilevel"/>
    <w:tmpl w:val="8BE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33"/>
    <w:rsid w:val="003E1033"/>
    <w:rsid w:val="00413ECF"/>
    <w:rsid w:val="00614B70"/>
    <w:rsid w:val="007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2023-12-22T13:54:00Z</dcterms:created>
  <dcterms:modified xsi:type="dcterms:W3CDTF">2023-12-22T13:55:00Z</dcterms:modified>
</cp:coreProperties>
</file>