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9F71" w14:textId="77777777" w:rsidR="0079416E" w:rsidRPr="0079416E" w:rsidRDefault="0079416E" w:rsidP="0079416E">
      <w:r w:rsidRPr="0079416E">
        <w:t>Въведение</w:t>
      </w:r>
      <w:r w:rsidRPr="0079416E">
        <w:br/>
      </w:r>
      <w:r w:rsidRPr="0079416E">
        <w:rPr>
          <w:b/>
          <w:bCs/>
        </w:rPr>
        <w:t xml:space="preserve">Теории за посредственото </w:t>
      </w:r>
      <w:proofErr w:type="spellStart"/>
      <w:r w:rsidRPr="0079416E">
        <w:rPr>
          <w:b/>
          <w:bCs/>
        </w:rPr>
        <w:t>извършителство</w:t>
      </w:r>
      <w:proofErr w:type="spellEnd"/>
      <w:r w:rsidRPr="0079416E">
        <w:rPr>
          <w:b/>
          <w:bCs/>
        </w:rPr>
        <w:t xml:space="preserve"> и въпросите, които те поставят. Някои </w:t>
      </w:r>
      <w:proofErr w:type="spellStart"/>
      <w:r w:rsidRPr="0079416E">
        <w:rPr>
          <w:b/>
          <w:bCs/>
        </w:rPr>
        <w:t>сравнителноправни</w:t>
      </w:r>
      <w:proofErr w:type="spellEnd"/>
      <w:r w:rsidRPr="0079416E">
        <w:rPr>
          <w:b/>
          <w:bCs/>
        </w:rPr>
        <w:t xml:space="preserve"> бележки</w:t>
      </w:r>
    </w:p>
    <w:p w14:paraId="78579D6B" w14:textId="77777777" w:rsidR="0079416E" w:rsidRPr="0079416E" w:rsidRDefault="0079416E" w:rsidP="0079416E">
      <w:pPr>
        <w:numPr>
          <w:ilvl w:val="0"/>
          <w:numId w:val="1"/>
        </w:numPr>
      </w:pPr>
      <w:r w:rsidRPr="0079416E">
        <w:t xml:space="preserve">Теории за посредственото </w:t>
      </w:r>
      <w:proofErr w:type="spellStart"/>
      <w:r w:rsidRPr="0079416E">
        <w:t>извършителство</w:t>
      </w:r>
      <w:proofErr w:type="spellEnd"/>
    </w:p>
    <w:p w14:paraId="543F1D50" w14:textId="77777777" w:rsidR="0079416E" w:rsidRPr="0079416E" w:rsidRDefault="0079416E" w:rsidP="0079416E">
      <w:pPr>
        <w:numPr>
          <w:ilvl w:val="0"/>
          <w:numId w:val="1"/>
        </w:numPr>
      </w:pPr>
      <w:r w:rsidRPr="0079416E">
        <w:t xml:space="preserve">Разграничаване на посредственото </w:t>
      </w:r>
      <w:proofErr w:type="spellStart"/>
      <w:r w:rsidRPr="0079416E">
        <w:t>извършителство</w:t>
      </w:r>
      <w:proofErr w:type="spellEnd"/>
      <w:r w:rsidRPr="0079416E">
        <w:t xml:space="preserve"> от независимото съпричиняване, от провокацията и от съучастието</w:t>
      </w:r>
    </w:p>
    <w:p w14:paraId="14546141" w14:textId="77777777" w:rsidR="0079416E" w:rsidRPr="0079416E" w:rsidRDefault="0079416E" w:rsidP="0079416E">
      <w:pPr>
        <w:numPr>
          <w:ilvl w:val="1"/>
          <w:numId w:val="1"/>
        </w:numPr>
      </w:pPr>
      <w:r w:rsidRPr="0079416E">
        <w:t xml:space="preserve">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и независимо съпричиняване</w:t>
      </w:r>
    </w:p>
    <w:p w14:paraId="0423B044" w14:textId="77777777" w:rsidR="0079416E" w:rsidRPr="0079416E" w:rsidRDefault="0079416E" w:rsidP="0079416E">
      <w:pPr>
        <w:numPr>
          <w:ilvl w:val="1"/>
          <w:numId w:val="1"/>
        </w:numPr>
      </w:pPr>
      <w:r w:rsidRPr="0079416E">
        <w:t xml:space="preserve">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и провокация към престъпление</w:t>
      </w:r>
    </w:p>
    <w:p w14:paraId="682DD646" w14:textId="77777777" w:rsidR="0079416E" w:rsidRPr="0079416E" w:rsidRDefault="0079416E" w:rsidP="0079416E">
      <w:pPr>
        <w:numPr>
          <w:ilvl w:val="1"/>
          <w:numId w:val="1"/>
        </w:numPr>
      </w:pPr>
      <w:r w:rsidRPr="0079416E">
        <w:t xml:space="preserve">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и съучастие</w:t>
      </w:r>
    </w:p>
    <w:p w14:paraId="418236C3" w14:textId="77777777" w:rsidR="0079416E" w:rsidRPr="0079416E" w:rsidRDefault="0079416E" w:rsidP="0079416E">
      <w:pPr>
        <w:numPr>
          <w:ilvl w:val="0"/>
          <w:numId w:val="1"/>
        </w:numPr>
      </w:pPr>
      <w:r w:rsidRPr="0079416E">
        <w:t>В какво може да се изразява дейността на посредствения извършител</w:t>
      </w:r>
    </w:p>
    <w:p w14:paraId="3B7BAFEE" w14:textId="77777777" w:rsidR="0079416E" w:rsidRPr="0079416E" w:rsidRDefault="0079416E" w:rsidP="0079416E">
      <w:pPr>
        <w:numPr>
          <w:ilvl w:val="0"/>
          <w:numId w:val="1"/>
        </w:numPr>
      </w:pPr>
      <w:r w:rsidRPr="0079416E">
        <w:t>Уеднаквяване на терминологията</w:t>
      </w:r>
    </w:p>
    <w:p w14:paraId="1319162E" w14:textId="77777777" w:rsidR="0079416E" w:rsidRPr="0079416E" w:rsidRDefault="0079416E" w:rsidP="0079416E">
      <w:pPr>
        <w:numPr>
          <w:ilvl w:val="0"/>
          <w:numId w:val="1"/>
        </w:numPr>
      </w:pPr>
      <w:r w:rsidRPr="0079416E">
        <w:t>Кое лице може да бъде оръдие</w:t>
      </w:r>
    </w:p>
    <w:p w14:paraId="44749896" w14:textId="77777777" w:rsidR="0079416E" w:rsidRPr="0079416E" w:rsidRDefault="0079416E" w:rsidP="0079416E">
      <w:pPr>
        <w:numPr>
          <w:ilvl w:val="0"/>
          <w:numId w:val="1"/>
        </w:numPr>
      </w:pPr>
      <w:proofErr w:type="spellStart"/>
      <w:r w:rsidRPr="0079416E">
        <w:t>Сравнителноправни</w:t>
      </w:r>
      <w:proofErr w:type="spellEnd"/>
      <w:r w:rsidRPr="0079416E">
        <w:t xml:space="preserve"> бележки</w:t>
      </w:r>
    </w:p>
    <w:p w14:paraId="480E7CF9" w14:textId="77777777" w:rsidR="0079416E" w:rsidRPr="0079416E" w:rsidRDefault="0079416E" w:rsidP="0079416E">
      <w:pPr>
        <w:numPr>
          <w:ilvl w:val="1"/>
          <w:numId w:val="1"/>
        </w:numPr>
      </w:pPr>
      <w:r w:rsidRPr="0079416E">
        <w:t xml:space="preserve">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в международното право</w:t>
      </w:r>
    </w:p>
    <w:p w14:paraId="6EDD250F" w14:textId="77777777" w:rsidR="0079416E" w:rsidRPr="0079416E" w:rsidRDefault="0079416E" w:rsidP="0079416E">
      <w:pPr>
        <w:numPr>
          <w:ilvl w:val="1"/>
          <w:numId w:val="1"/>
        </w:numPr>
      </w:pPr>
      <w:r w:rsidRPr="0079416E">
        <w:t xml:space="preserve">Посредственото </w:t>
      </w:r>
      <w:proofErr w:type="spellStart"/>
      <w:r w:rsidRPr="0079416E">
        <w:t>извършителство</w:t>
      </w:r>
      <w:proofErr w:type="spellEnd"/>
      <w:r w:rsidRPr="0079416E">
        <w:t xml:space="preserve"> в законодателствата на някои страни</w:t>
      </w:r>
    </w:p>
    <w:p w14:paraId="34E3B107" w14:textId="77777777" w:rsidR="0079416E" w:rsidRPr="0079416E" w:rsidRDefault="0079416E" w:rsidP="0079416E">
      <w:r w:rsidRPr="0079416E">
        <w:rPr>
          <w:b/>
          <w:bCs/>
        </w:rPr>
        <w:t xml:space="preserve">Други проблеми, свързани с посредственото </w:t>
      </w:r>
      <w:proofErr w:type="spellStart"/>
      <w:r w:rsidRPr="0079416E">
        <w:rPr>
          <w:b/>
          <w:bCs/>
        </w:rPr>
        <w:t>извършителство</w:t>
      </w:r>
      <w:proofErr w:type="spellEnd"/>
    </w:p>
    <w:p w14:paraId="1E0B27B2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 xml:space="preserve">Допустимо ли е 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при всички престъпни състави</w:t>
      </w:r>
    </w:p>
    <w:p w14:paraId="2CFE9C73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 xml:space="preserve">Субективна страна на посредственото </w:t>
      </w:r>
      <w:proofErr w:type="spellStart"/>
      <w:r w:rsidRPr="0079416E">
        <w:t>извършителство</w:t>
      </w:r>
      <w:proofErr w:type="spellEnd"/>
    </w:p>
    <w:p w14:paraId="3EC4B7E0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 xml:space="preserve">Опит при посредственото </w:t>
      </w:r>
      <w:proofErr w:type="spellStart"/>
      <w:r w:rsidRPr="0079416E">
        <w:t>извършителство</w:t>
      </w:r>
      <w:proofErr w:type="spellEnd"/>
    </w:p>
    <w:p w14:paraId="1BCEECE3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>Недовършен опит</w:t>
      </w:r>
    </w:p>
    <w:p w14:paraId="6C627224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>Довършен опит</w:t>
      </w:r>
    </w:p>
    <w:p w14:paraId="17C1B954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>Самоволен отказ от опит</w:t>
      </w:r>
    </w:p>
    <w:p w14:paraId="7DEF94DE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>Липсата на тъждество в поведението на оръдието и на посредствения извършител</w:t>
      </w:r>
    </w:p>
    <w:p w14:paraId="6B2F022E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>Съучастие при посредственото извършване на престъпление</w:t>
      </w:r>
    </w:p>
    <w:p w14:paraId="05739088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>Грешка по отношение на наказателната отговорност на оръдието</w:t>
      </w:r>
    </w:p>
    <w:p w14:paraId="3D7C6196" w14:textId="77777777" w:rsidR="0079416E" w:rsidRPr="0079416E" w:rsidRDefault="0079416E" w:rsidP="0079416E">
      <w:pPr>
        <w:numPr>
          <w:ilvl w:val="0"/>
          <w:numId w:val="2"/>
        </w:numPr>
      </w:pPr>
      <w:r w:rsidRPr="0079416E">
        <w:t xml:space="preserve">Посредствено </w:t>
      </w:r>
      <w:proofErr w:type="spellStart"/>
      <w:r w:rsidRPr="0079416E">
        <w:t>извършителство</w:t>
      </w:r>
      <w:proofErr w:type="spellEnd"/>
      <w:r w:rsidRPr="0079416E">
        <w:t xml:space="preserve"> при липса на </w:t>
      </w:r>
      <w:proofErr w:type="spellStart"/>
      <w:r w:rsidRPr="0079416E">
        <w:t>противоправност</w:t>
      </w:r>
      <w:proofErr w:type="spellEnd"/>
      <w:r w:rsidRPr="0079416E">
        <w:t xml:space="preserve">, липса на вина или липса на </w:t>
      </w:r>
      <w:proofErr w:type="spellStart"/>
      <w:r w:rsidRPr="0079416E">
        <w:t>съставомерност</w:t>
      </w:r>
      <w:proofErr w:type="spellEnd"/>
    </w:p>
    <w:p w14:paraId="67B88976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 xml:space="preserve">Липса на </w:t>
      </w:r>
      <w:proofErr w:type="spellStart"/>
      <w:r w:rsidRPr="0079416E">
        <w:t>противоправност</w:t>
      </w:r>
      <w:proofErr w:type="spellEnd"/>
      <w:r w:rsidRPr="0079416E">
        <w:t xml:space="preserve"> (неизбежна отбрана, крайна необходимост)</w:t>
      </w:r>
    </w:p>
    <w:p w14:paraId="2D7E6922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>Липса на вина (грешка, случайно деяние)</w:t>
      </w:r>
    </w:p>
    <w:p w14:paraId="6593FB17" w14:textId="77777777" w:rsidR="0079416E" w:rsidRPr="0079416E" w:rsidRDefault="0079416E" w:rsidP="0079416E">
      <w:pPr>
        <w:numPr>
          <w:ilvl w:val="1"/>
          <w:numId w:val="2"/>
        </w:numPr>
      </w:pPr>
      <w:r w:rsidRPr="0079416E">
        <w:t xml:space="preserve">Липса на </w:t>
      </w:r>
      <w:proofErr w:type="spellStart"/>
      <w:r w:rsidRPr="0079416E">
        <w:t>съставомерност</w:t>
      </w:r>
      <w:proofErr w:type="spellEnd"/>
      <w:r w:rsidRPr="0079416E">
        <w:t xml:space="preserve"> (</w:t>
      </w:r>
      <w:proofErr w:type="spellStart"/>
      <w:r w:rsidRPr="0079416E">
        <w:t>самоувреждане</w:t>
      </w:r>
      <w:proofErr w:type="spellEnd"/>
      <w:r w:rsidRPr="0079416E">
        <w:t>, повреждане на собствена вещ)</w:t>
      </w:r>
    </w:p>
    <w:p w14:paraId="791494F7" w14:textId="77777777" w:rsidR="0079416E" w:rsidRPr="0079416E" w:rsidRDefault="0079416E" w:rsidP="0079416E">
      <w:r w:rsidRPr="0079416E">
        <w:rPr>
          <w:b/>
          <w:bCs/>
        </w:rPr>
        <w:t>Проблемът за прилагане на аналогия в наказателното право</w:t>
      </w:r>
    </w:p>
    <w:p w14:paraId="25A3D25A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Какво представлява аналогията?</w:t>
      </w:r>
    </w:p>
    <w:p w14:paraId="18C97BAC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lastRenderedPageBreak/>
        <w:t>Какво представлява празнотата в правото?</w:t>
      </w:r>
    </w:p>
    <w:p w14:paraId="049A3913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Способи за запълване на празноти в правото</w:t>
      </w:r>
    </w:p>
    <w:p w14:paraId="2B8C3B3C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Исторически бележки</w:t>
      </w:r>
    </w:p>
    <w:p w14:paraId="3DC94284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Аналогията в българското наказателно право исторически план</w:t>
      </w:r>
    </w:p>
    <w:p w14:paraId="6D0993FF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Условия за прилагане на аналогията в наказателното право</w:t>
      </w:r>
    </w:p>
    <w:p w14:paraId="237F99DF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Кои елементи от състава на престъплението могат да се попълват чрез аналогия?</w:t>
      </w:r>
    </w:p>
    <w:p w14:paraId="713EB9C7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Аналогията в действащото законодателство</w:t>
      </w:r>
    </w:p>
    <w:p w14:paraId="0E6A0939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Разграничение между аналогията на закона и разширителното тълкуване на правните норми</w:t>
      </w:r>
    </w:p>
    <w:p w14:paraId="14F081FD" w14:textId="77777777" w:rsidR="0079416E" w:rsidRPr="0079416E" w:rsidRDefault="0079416E" w:rsidP="0079416E">
      <w:pPr>
        <w:numPr>
          <w:ilvl w:val="0"/>
          <w:numId w:val="3"/>
        </w:numPr>
      </w:pPr>
      <w:r w:rsidRPr="0079416E">
        <w:t>Заключение</w:t>
      </w:r>
    </w:p>
    <w:p w14:paraId="17F4DC83" w14:textId="69B775D0" w:rsidR="00A825F2" w:rsidRDefault="0079416E" w:rsidP="0079416E">
      <w:r w:rsidRPr="0079416E">
        <w:t xml:space="preserve">Необходимост от легално определяне на посредственото </w:t>
      </w:r>
      <w:proofErr w:type="spellStart"/>
      <w:r w:rsidRPr="0079416E">
        <w:t>извършителство</w:t>
      </w:r>
      <w:proofErr w:type="spellEnd"/>
      <w:r w:rsidRPr="0079416E">
        <w:t xml:space="preserve">. De </w:t>
      </w:r>
      <w:proofErr w:type="spellStart"/>
      <w:r w:rsidRPr="0079416E">
        <w:t>lege</w:t>
      </w:r>
      <w:proofErr w:type="spellEnd"/>
      <w:r w:rsidRPr="0079416E">
        <w:t xml:space="preserve"> </w:t>
      </w:r>
      <w:proofErr w:type="spellStart"/>
      <w:r w:rsidRPr="0079416E">
        <w:t>ferenda</w:t>
      </w:r>
      <w:proofErr w:type="spellEnd"/>
      <w:r w:rsidRPr="0079416E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7E8"/>
    <w:multiLevelType w:val="multilevel"/>
    <w:tmpl w:val="E57A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718C9"/>
    <w:multiLevelType w:val="multilevel"/>
    <w:tmpl w:val="1850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F5B9B"/>
    <w:multiLevelType w:val="multilevel"/>
    <w:tmpl w:val="111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D5"/>
    <w:rsid w:val="0079416E"/>
    <w:rsid w:val="0089545E"/>
    <w:rsid w:val="00BC7ED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27FD-3807-4C95-87D5-371CF16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2024-04-04T07:41:00Z</dcterms:created>
  <dcterms:modified xsi:type="dcterms:W3CDTF">2024-04-04T07:41:00Z</dcterms:modified>
</cp:coreProperties>
</file>