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E13CF" w14:textId="77777777" w:rsidR="0044186A" w:rsidRPr="0044186A" w:rsidRDefault="0044186A" w:rsidP="0044186A">
      <w:r w:rsidRPr="0044186A">
        <w:t>Въведение</w:t>
      </w:r>
      <w:r w:rsidRPr="0044186A">
        <w:br/>
        <w:t>Глава първа</w:t>
      </w:r>
      <w:r w:rsidRPr="0044186A">
        <w:br/>
      </w:r>
      <w:r w:rsidRPr="0044186A">
        <w:rPr>
          <w:b/>
          <w:bCs/>
        </w:rPr>
        <w:t>Понятие и правна същност на публичното предлагане на ценни книжа</w:t>
      </w:r>
    </w:p>
    <w:p w14:paraId="55EAA37F" w14:textId="77777777" w:rsidR="0044186A" w:rsidRPr="0044186A" w:rsidRDefault="0044186A" w:rsidP="0044186A">
      <w:pPr>
        <w:numPr>
          <w:ilvl w:val="0"/>
          <w:numId w:val="1"/>
        </w:numPr>
      </w:pPr>
      <w:r w:rsidRPr="0044186A">
        <w:t>Историческо развитие и еволюция на правната уредба и на разбиранията за нормативна регламентация на публичното предлагане на ценни книжа</w:t>
      </w:r>
    </w:p>
    <w:p w14:paraId="258F1AED" w14:textId="77777777" w:rsidR="0044186A" w:rsidRPr="0044186A" w:rsidRDefault="0044186A" w:rsidP="0044186A">
      <w:pPr>
        <w:numPr>
          <w:ilvl w:val="0"/>
          <w:numId w:val="1"/>
        </w:numPr>
      </w:pPr>
      <w:r w:rsidRPr="0044186A">
        <w:t>Действаща нормативна уредба на публичното предлагане на ценни книжа. Роля на отменената Директива 2003/71/ΕΟ</w:t>
      </w:r>
    </w:p>
    <w:p w14:paraId="7E08BD20" w14:textId="77777777" w:rsidR="0044186A" w:rsidRPr="0044186A" w:rsidRDefault="0044186A" w:rsidP="0044186A">
      <w:pPr>
        <w:numPr>
          <w:ilvl w:val="0"/>
          <w:numId w:val="1"/>
        </w:numPr>
      </w:pPr>
      <w:r w:rsidRPr="0044186A">
        <w:t>Сравнителен анализ на публичното предлагане на ценни книжа</w:t>
      </w:r>
    </w:p>
    <w:p w14:paraId="304C7C52" w14:textId="77777777" w:rsidR="0044186A" w:rsidRPr="0044186A" w:rsidRDefault="0044186A" w:rsidP="0044186A">
      <w:pPr>
        <w:numPr>
          <w:ilvl w:val="1"/>
          <w:numId w:val="1"/>
        </w:numPr>
      </w:pPr>
      <w:r w:rsidRPr="0044186A">
        <w:t>Наднационална правна рамка на публичното предлагане на ценни книжа актьори и институции</w:t>
      </w:r>
    </w:p>
    <w:p w14:paraId="014A2DD5" w14:textId="77777777" w:rsidR="0044186A" w:rsidRPr="0044186A" w:rsidRDefault="0044186A" w:rsidP="0044186A">
      <w:pPr>
        <w:numPr>
          <w:ilvl w:val="1"/>
          <w:numId w:val="1"/>
        </w:numPr>
      </w:pPr>
      <w:r w:rsidRPr="0044186A">
        <w:t>Публичното предлагане на ценни книжа в Съединените американски щати история, еволюция и нормативна уредба</w:t>
      </w:r>
    </w:p>
    <w:p w14:paraId="15CD0844" w14:textId="77777777" w:rsidR="0044186A" w:rsidRPr="0044186A" w:rsidRDefault="0044186A" w:rsidP="0044186A">
      <w:pPr>
        <w:numPr>
          <w:ilvl w:val="0"/>
          <w:numId w:val="1"/>
        </w:numPr>
      </w:pPr>
      <w:r w:rsidRPr="0044186A">
        <w:t>Ценни книжа, предмет на публично предлагане</w:t>
      </w:r>
    </w:p>
    <w:p w14:paraId="75C2E1E8" w14:textId="77777777" w:rsidR="0044186A" w:rsidRPr="0044186A" w:rsidRDefault="0044186A" w:rsidP="0044186A">
      <w:pPr>
        <w:numPr>
          <w:ilvl w:val="0"/>
          <w:numId w:val="1"/>
        </w:numPr>
      </w:pPr>
      <w:r w:rsidRPr="0044186A">
        <w:t>Понятие и същност на публичното предлагане на ценни книжа</w:t>
      </w:r>
    </w:p>
    <w:p w14:paraId="50617861" w14:textId="77777777" w:rsidR="0044186A" w:rsidRPr="0044186A" w:rsidRDefault="0044186A" w:rsidP="0044186A">
      <w:pPr>
        <w:numPr>
          <w:ilvl w:val="1"/>
          <w:numId w:val="1"/>
        </w:numPr>
      </w:pPr>
      <w:r w:rsidRPr="0044186A">
        <w:t>Необходимост от правно уреждане и цели на нормативната уредба</w:t>
      </w:r>
    </w:p>
    <w:p w14:paraId="46540378" w14:textId="77777777" w:rsidR="0044186A" w:rsidRPr="0044186A" w:rsidRDefault="0044186A" w:rsidP="0044186A">
      <w:pPr>
        <w:numPr>
          <w:ilvl w:val="1"/>
          <w:numId w:val="1"/>
        </w:numPr>
      </w:pPr>
      <w:r w:rsidRPr="0044186A">
        <w:t>Причини, поради които дружествата прибягват до публично предлагане на ценни книжа</w:t>
      </w:r>
    </w:p>
    <w:p w14:paraId="2015F175" w14:textId="77777777" w:rsidR="0044186A" w:rsidRPr="0044186A" w:rsidRDefault="0044186A" w:rsidP="0044186A">
      <w:pPr>
        <w:numPr>
          <w:ilvl w:val="1"/>
          <w:numId w:val="1"/>
        </w:numPr>
      </w:pPr>
      <w:r w:rsidRPr="0044186A">
        <w:t>Капиталови пазари</w:t>
      </w:r>
    </w:p>
    <w:p w14:paraId="04DCC756" w14:textId="77777777" w:rsidR="0044186A" w:rsidRPr="0044186A" w:rsidRDefault="0044186A" w:rsidP="0044186A">
      <w:pPr>
        <w:numPr>
          <w:ilvl w:val="1"/>
          <w:numId w:val="1"/>
        </w:numPr>
      </w:pPr>
      <w:r w:rsidRPr="0044186A">
        <w:t>Понятие</w:t>
      </w:r>
    </w:p>
    <w:p w14:paraId="24D7D9B4" w14:textId="77777777" w:rsidR="0044186A" w:rsidRPr="0044186A" w:rsidRDefault="0044186A" w:rsidP="0044186A">
      <w:pPr>
        <w:numPr>
          <w:ilvl w:val="1"/>
          <w:numId w:val="1"/>
        </w:numPr>
      </w:pPr>
      <w:r w:rsidRPr="0044186A">
        <w:t>Дефиниция и същност на публичното предлагане на ценни книжа</w:t>
      </w:r>
    </w:p>
    <w:p w14:paraId="07C78F5B" w14:textId="77777777" w:rsidR="0044186A" w:rsidRPr="0044186A" w:rsidRDefault="0044186A" w:rsidP="0044186A">
      <w:pPr>
        <w:numPr>
          <w:ilvl w:val="1"/>
          <w:numId w:val="1"/>
        </w:numPr>
      </w:pPr>
      <w:r w:rsidRPr="0044186A">
        <w:t>Белези на понятието публично предлагане на ценни книжа. Правни последици</w:t>
      </w:r>
    </w:p>
    <w:p w14:paraId="0DD35C0C" w14:textId="77777777" w:rsidR="0044186A" w:rsidRPr="0044186A" w:rsidRDefault="0044186A" w:rsidP="0044186A">
      <w:pPr>
        <w:numPr>
          <w:ilvl w:val="1"/>
          <w:numId w:val="1"/>
        </w:numPr>
      </w:pPr>
      <w:r w:rsidRPr="0044186A">
        <w:t>Първично публично предлагане на ценни книжа</w:t>
      </w:r>
    </w:p>
    <w:p w14:paraId="007EDE81" w14:textId="77777777" w:rsidR="0044186A" w:rsidRPr="0044186A" w:rsidRDefault="0044186A" w:rsidP="0044186A">
      <w:pPr>
        <w:numPr>
          <w:ilvl w:val="0"/>
          <w:numId w:val="1"/>
        </w:numPr>
      </w:pPr>
      <w:r w:rsidRPr="0044186A">
        <w:t>Участници в публичното предлагане на ценни книжа</w:t>
      </w:r>
    </w:p>
    <w:p w14:paraId="1E2A9970" w14:textId="77777777" w:rsidR="0044186A" w:rsidRPr="0044186A" w:rsidRDefault="0044186A" w:rsidP="0044186A">
      <w:pPr>
        <w:numPr>
          <w:ilvl w:val="0"/>
          <w:numId w:val="1"/>
        </w:numPr>
      </w:pPr>
      <w:r w:rsidRPr="0044186A">
        <w:t>Разграничение от сходни правни фигури</w:t>
      </w:r>
    </w:p>
    <w:p w14:paraId="634D155C" w14:textId="77777777" w:rsidR="0044186A" w:rsidRPr="0044186A" w:rsidRDefault="0044186A" w:rsidP="0044186A">
      <w:pPr>
        <w:numPr>
          <w:ilvl w:val="1"/>
          <w:numId w:val="1"/>
        </w:numPr>
      </w:pPr>
      <w:r w:rsidRPr="0044186A">
        <w:t>Рекламиране на ценни книжа</w:t>
      </w:r>
    </w:p>
    <w:p w14:paraId="1F394E31" w14:textId="77777777" w:rsidR="0044186A" w:rsidRPr="0044186A" w:rsidRDefault="0044186A" w:rsidP="0044186A">
      <w:pPr>
        <w:numPr>
          <w:ilvl w:val="1"/>
          <w:numId w:val="1"/>
        </w:numPr>
      </w:pPr>
      <w:proofErr w:type="spellStart"/>
      <w:r w:rsidRPr="0044186A">
        <w:t>Краудфъндинг</w:t>
      </w:r>
      <w:proofErr w:type="spellEnd"/>
      <w:r w:rsidRPr="0044186A">
        <w:t xml:space="preserve"> (</w:t>
      </w:r>
      <w:proofErr w:type="spellStart"/>
      <w:r w:rsidRPr="0044186A">
        <w:t>Crowdfunding</w:t>
      </w:r>
      <w:proofErr w:type="spellEnd"/>
      <w:r w:rsidRPr="0044186A">
        <w:t>)</w:t>
      </w:r>
    </w:p>
    <w:p w14:paraId="74796ED6" w14:textId="77777777" w:rsidR="0044186A" w:rsidRPr="0044186A" w:rsidRDefault="0044186A" w:rsidP="0044186A">
      <w:r w:rsidRPr="0044186A">
        <w:rPr>
          <w:b/>
          <w:bCs/>
        </w:rPr>
        <w:t>Изготвяне, одобрение и публикуване на проспекта за публично предлагане на ценни книжа</w:t>
      </w:r>
    </w:p>
    <w:p w14:paraId="719DFB0E" w14:textId="77777777" w:rsidR="0044186A" w:rsidRPr="0044186A" w:rsidRDefault="0044186A" w:rsidP="0044186A">
      <w:pPr>
        <w:numPr>
          <w:ilvl w:val="0"/>
          <w:numId w:val="2"/>
        </w:numPr>
      </w:pPr>
      <w:r w:rsidRPr="0044186A">
        <w:t>Изготвяне на проспект по начин и със съдържание, установени в действащата нормативна уредба</w:t>
      </w:r>
    </w:p>
    <w:p w14:paraId="54B536E7" w14:textId="77777777" w:rsidR="0044186A" w:rsidRPr="0044186A" w:rsidRDefault="0044186A" w:rsidP="0044186A">
      <w:pPr>
        <w:numPr>
          <w:ilvl w:val="1"/>
          <w:numId w:val="2"/>
        </w:numPr>
      </w:pPr>
      <w:r w:rsidRPr="0044186A">
        <w:t>Изготвяне на проспекта. Същност</w:t>
      </w:r>
    </w:p>
    <w:p w14:paraId="47082EA2" w14:textId="77777777" w:rsidR="0044186A" w:rsidRPr="0044186A" w:rsidRDefault="0044186A" w:rsidP="0044186A">
      <w:pPr>
        <w:numPr>
          <w:ilvl w:val="1"/>
          <w:numId w:val="2"/>
        </w:numPr>
      </w:pPr>
      <w:r w:rsidRPr="0044186A">
        <w:t>Случаи, в които не се прилагат изискванията за публично предлагане на ценни книжа</w:t>
      </w:r>
    </w:p>
    <w:p w14:paraId="1FF1DA37" w14:textId="77777777" w:rsidR="0044186A" w:rsidRPr="0044186A" w:rsidRDefault="0044186A" w:rsidP="0044186A">
      <w:pPr>
        <w:numPr>
          <w:ilvl w:val="1"/>
          <w:numId w:val="2"/>
        </w:numPr>
      </w:pPr>
      <w:r w:rsidRPr="0044186A">
        <w:t>Изключения, в които не се изисква изготвянето и публикуването на проспект за публично предлагане на ценни книжа</w:t>
      </w:r>
    </w:p>
    <w:p w14:paraId="1C4D2FE6" w14:textId="77777777" w:rsidR="0044186A" w:rsidRPr="0044186A" w:rsidRDefault="0044186A" w:rsidP="0044186A">
      <w:pPr>
        <w:numPr>
          <w:ilvl w:val="0"/>
          <w:numId w:val="2"/>
        </w:numPr>
      </w:pPr>
      <w:r w:rsidRPr="0044186A">
        <w:t>Одобрение на проспекта за публично предлагане на ценни книжа</w:t>
      </w:r>
    </w:p>
    <w:p w14:paraId="58333BB5" w14:textId="77777777" w:rsidR="0044186A" w:rsidRPr="0044186A" w:rsidRDefault="0044186A" w:rsidP="0044186A">
      <w:pPr>
        <w:numPr>
          <w:ilvl w:val="1"/>
          <w:numId w:val="2"/>
        </w:numPr>
      </w:pPr>
      <w:r w:rsidRPr="0044186A">
        <w:lastRenderedPageBreak/>
        <w:t>Общи положения</w:t>
      </w:r>
    </w:p>
    <w:p w14:paraId="40866E96" w14:textId="77777777" w:rsidR="0044186A" w:rsidRPr="0044186A" w:rsidRDefault="0044186A" w:rsidP="0044186A">
      <w:pPr>
        <w:numPr>
          <w:ilvl w:val="1"/>
          <w:numId w:val="2"/>
        </w:numPr>
      </w:pPr>
      <w:r w:rsidRPr="0044186A">
        <w:t>Одобрение на проспекта за публично предлагане на ценни книжа от Комисията за финансов надзор</w:t>
      </w:r>
    </w:p>
    <w:p w14:paraId="004D568C" w14:textId="77777777" w:rsidR="0044186A" w:rsidRPr="0044186A" w:rsidRDefault="0044186A" w:rsidP="0044186A">
      <w:pPr>
        <w:numPr>
          <w:ilvl w:val="1"/>
          <w:numId w:val="2"/>
        </w:numPr>
      </w:pPr>
      <w:r w:rsidRPr="0044186A">
        <w:t>Необходими стъпки при последващи изменения на обстоятелствата. Допълнение на проспекта правомощия на Комисията за финансов надзор и принудителни административни мерки</w:t>
      </w:r>
    </w:p>
    <w:p w14:paraId="31FDFB79" w14:textId="77777777" w:rsidR="0044186A" w:rsidRPr="0044186A" w:rsidRDefault="0044186A" w:rsidP="0044186A">
      <w:pPr>
        <w:numPr>
          <w:ilvl w:val="1"/>
          <w:numId w:val="2"/>
        </w:numPr>
      </w:pPr>
      <w:r w:rsidRPr="0044186A">
        <w:t>Принудителни административни мерки, прилагани от Комисията за финансов надзор при одобрението на проспекта</w:t>
      </w:r>
    </w:p>
    <w:p w14:paraId="77A516CA" w14:textId="77777777" w:rsidR="0044186A" w:rsidRPr="0044186A" w:rsidRDefault="0044186A" w:rsidP="0044186A">
      <w:pPr>
        <w:numPr>
          <w:ilvl w:val="0"/>
          <w:numId w:val="2"/>
        </w:numPr>
      </w:pPr>
      <w:r w:rsidRPr="0044186A">
        <w:t>Публикуване на проспекта за публично предлагане на ценни книжа</w:t>
      </w:r>
    </w:p>
    <w:p w14:paraId="136836B3" w14:textId="77777777" w:rsidR="0044186A" w:rsidRPr="0044186A" w:rsidRDefault="0044186A" w:rsidP="0044186A">
      <w:pPr>
        <w:numPr>
          <w:ilvl w:val="1"/>
          <w:numId w:val="2"/>
        </w:numPr>
      </w:pPr>
      <w:r w:rsidRPr="0044186A">
        <w:t>Изисквания за публикуването на проспекта и съобщението за публично предлагане на ценни книжа. Рекламиране</w:t>
      </w:r>
    </w:p>
    <w:p w14:paraId="2007397C" w14:textId="77777777" w:rsidR="0044186A" w:rsidRPr="0044186A" w:rsidRDefault="0044186A" w:rsidP="0044186A">
      <w:pPr>
        <w:numPr>
          <w:ilvl w:val="1"/>
          <w:numId w:val="2"/>
        </w:numPr>
      </w:pPr>
      <w:r w:rsidRPr="0044186A">
        <w:t>Уведомяване за резултата от публичното предлагане на ценни книжа и допускане до търговия на регулиран пазар</w:t>
      </w:r>
    </w:p>
    <w:p w14:paraId="50351653" w14:textId="77777777" w:rsidR="0044186A" w:rsidRPr="0044186A" w:rsidRDefault="0044186A" w:rsidP="0044186A">
      <w:pPr>
        <w:numPr>
          <w:ilvl w:val="1"/>
          <w:numId w:val="2"/>
        </w:numPr>
      </w:pPr>
      <w:r w:rsidRPr="0044186A">
        <w:t>Валидност на проспекта</w:t>
      </w:r>
    </w:p>
    <w:p w14:paraId="1FA6448C" w14:textId="77777777" w:rsidR="0044186A" w:rsidRPr="0044186A" w:rsidRDefault="0044186A" w:rsidP="0044186A">
      <w:pPr>
        <w:numPr>
          <w:ilvl w:val="1"/>
          <w:numId w:val="2"/>
        </w:numPr>
      </w:pPr>
      <w:r w:rsidRPr="0044186A">
        <w:t>Трансгранично публично предлагане, осъществявано в рамките на Европейския съюз</w:t>
      </w:r>
    </w:p>
    <w:p w14:paraId="48A072E5" w14:textId="77777777" w:rsidR="0044186A" w:rsidRPr="0044186A" w:rsidRDefault="0044186A" w:rsidP="0044186A">
      <w:pPr>
        <w:numPr>
          <w:ilvl w:val="1"/>
          <w:numId w:val="2"/>
        </w:numPr>
      </w:pPr>
      <w:r w:rsidRPr="0044186A">
        <w:t>Принудителни административни мерки, прилагани от Комисията за финансов надзор</w:t>
      </w:r>
    </w:p>
    <w:p w14:paraId="4E649255" w14:textId="77777777" w:rsidR="0044186A" w:rsidRPr="0044186A" w:rsidRDefault="0044186A" w:rsidP="0044186A">
      <w:pPr>
        <w:numPr>
          <w:ilvl w:val="1"/>
          <w:numId w:val="2"/>
        </w:numPr>
      </w:pPr>
      <w:r w:rsidRPr="0044186A">
        <w:t>Публично предлагане на ценни книжа, емитирани от чуждестранни лица. Публично предлагане в чужбина на ценни книжа, емитирани от местни лица. Сътрудничество между надзорните органи</w:t>
      </w:r>
    </w:p>
    <w:p w14:paraId="034EAA3D" w14:textId="77777777" w:rsidR="0044186A" w:rsidRPr="0044186A" w:rsidRDefault="0044186A" w:rsidP="0044186A">
      <w:r w:rsidRPr="0044186A">
        <w:rPr>
          <w:b/>
          <w:bCs/>
        </w:rPr>
        <w:t>Особености при публичното предлагане на облигации</w:t>
      </w:r>
    </w:p>
    <w:p w14:paraId="7BE59416" w14:textId="77777777" w:rsidR="0044186A" w:rsidRPr="0044186A" w:rsidRDefault="0044186A" w:rsidP="0044186A">
      <w:pPr>
        <w:numPr>
          <w:ilvl w:val="0"/>
          <w:numId w:val="3"/>
        </w:numPr>
      </w:pPr>
      <w:r w:rsidRPr="0044186A">
        <w:t>Общи нормативни изисквания</w:t>
      </w:r>
    </w:p>
    <w:p w14:paraId="316F1D76" w14:textId="77777777" w:rsidR="0044186A" w:rsidRPr="0044186A" w:rsidRDefault="0044186A" w:rsidP="0044186A">
      <w:pPr>
        <w:numPr>
          <w:ilvl w:val="0"/>
          <w:numId w:val="3"/>
        </w:numPr>
      </w:pPr>
      <w:r w:rsidRPr="0044186A">
        <w:t>Довереникът на облигационерите</w:t>
      </w:r>
    </w:p>
    <w:p w14:paraId="0ECA0007" w14:textId="77777777" w:rsidR="0044186A" w:rsidRPr="0044186A" w:rsidRDefault="0044186A" w:rsidP="0044186A">
      <w:pPr>
        <w:numPr>
          <w:ilvl w:val="0"/>
          <w:numId w:val="3"/>
        </w:numPr>
      </w:pPr>
      <w:r w:rsidRPr="0044186A">
        <w:t>Особени изисквания за съдържанието на проспекта за публично предлагане на облигации</w:t>
      </w:r>
    </w:p>
    <w:p w14:paraId="766FBCF2" w14:textId="77777777" w:rsidR="0044186A" w:rsidRPr="0044186A" w:rsidRDefault="0044186A" w:rsidP="0044186A">
      <w:pPr>
        <w:numPr>
          <w:ilvl w:val="0"/>
          <w:numId w:val="3"/>
        </w:numPr>
      </w:pPr>
      <w:r w:rsidRPr="0044186A">
        <w:t>Публично предлагане на обезпечена емисия облигации</w:t>
      </w:r>
    </w:p>
    <w:p w14:paraId="37B076CB" w14:textId="77777777" w:rsidR="0044186A" w:rsidRPr="0044186A" w:rsidRDefault="0044186A" w:rsidP="0044186A">
      <w:pPr>
        <w:numPr>
          <w:ilvl w:val="0"/>
          <w:numId w:val="3"/>
        </w:numPr>
      </w:pPr>
      <w:r w:rsidRPr="0044186A">
        <w:t>Предимства на публичното предлагане на облигации и цели на нормативната уредба</w:t>
      </w:r>
    </w:p>
    <w:p w14:paraId="07CA0C5C" w14:textId="77777777" w:rsidR="0044186A" w:rsidRPr="0044186A" w:rsidRDefault="0044186A" w:rsidP="0044186A">
      <w:r w:rsidRPr="0044186A">
        <w:rPr>
          <w:b/>
          <w:bCs/>
        </w:rPr>
        <w:t>Отговорност и правни последици при публично предлагане на ценни книжа, извършено при проспект, който съдържа невярна, непълна или заблуждаваща информация</w:t>
      </w:r>
    </w:p>
    <w:p w14:paraId="6D48EB41" w14:textId="77777777" w:rsidR="0044186A" w:rsidRPr="0044186A" w:rsidRDefault="0044186A" w:rsidP="0044186A">
      <w:pPr>
        <w:numPr>
          <w:ilvl w:val="0"/>
          <w:numId w:val="4"/>
        </w:numPr>
      </w:pPr>
      <w:r w:rsidRPr="0044186A">
        <w:t xml:space="preserve">Последващи юридически гаранции. </w:t>
      </w:r>
      <w:proofErr w:type="spellStart"/>
      <w:r w:rsidRPr="0044186A">
        <w:t>Публичноправни</w:t>
      </w:r>
      <w:proofErr w:type="spellEnd"/>
      <w:r w:rsidRPr="0044186A">
        <w:t xml:space="preserve"> последици при публично предлагане на ценни книжа, извършено при проспект, който съдържа невярна, непълна или заблуждаваща информация</w:t>
      </w:r>
    </w:p>
    <w:p w14:paraId="2176018B" w14:textId="77777777" w:rsidR="0044186A" w:rsidRPr="0044186A" w:rsidRDefault="0044186A" w:rsidP="0044186A">
      <w:pPr>
        <w:numPr>
          <w:ilvl w:val="1"/>
          <w:numId w:val="4"/>
        </w:numPr>
      </w:pPr>
      <w:r w:rsidRPr="0044186A">
        <w:t>Правни последици от публикуване на проспект, който съдържа невярна, непълна или заблуждаваща информация</w:t>
      </w:r>
    </w:p>
    <w:p w14:paraId="4725FEBF" w14:textId="77777777" w:rsidR="0044186A" w:rsidRPr="0044186A" w:rsidRDefault="0044186A" w:rsidP="0044186A">
      <w:pPr>
        <w:numPr>
          <w:ilvl w:val="1"/>
          <w:numId w:val="4"/>
        </w:numPr>
      </w:pPr>
      <w:proofErr w:type="spellStart"/>
      <w:r w:rsidRPr="0044186A">
        <w:t>Административнонаказателна</w:t>
      </w:r>
      <w:proofErr w:type="spellEnd"/>
      <w:r w:rsidRPr="0044186A">
        <w:t xml:space="preserve"> и наказателна отговорност</w:t>
      </w:r>
    </w:p>
    <w:p w14:paraId="17AAC9A5" w14:textId="77777777" w:rsidR="0044186A" w:rsidRPr="0044186A" w:rsidRDefault="0044186A" w:rsidP="0044186A">
      <w:pPr>
        <w:numPr>
          <w:ilvl w:val="0"/>
          <w:numId w:val="4"/>
        </w:numPr>
      </w:pPr>
      <w:r w:rsidRPr="0044186A">
        <w:lastRenderedPageBreak/>
        <w:t>Частноправни последици</w:t>
      </w:r>
    </w:p>
    <w:p w14:paraId="0E0673C5" w14:textId="77777777" w:rsidR="0044186A" w:rsidRPr="0044186A" w:rsidRDefault="0044186A" w:rsidP="0044186A">
      <w:pPr>
        <w:numPr>
          <w:ilvl w:val="1"/>
          <w:numId w:val="4"/>
        </w:numPr>
      </w:pPr>
      <w:r w:rsidRPr="0044186A">
        <w:t>Гражданска отговорност</w:t>
      </w:r>
    </w:p>
    <w:p w14:paraId="28940238" w14:textId="77777777" w:rsidR="0044186A" w:rsidRPr="0044186A" w:rsidRDefault="0044186A" w:rsidP="0044186A">
      <w:pPr>
        <w:numPr>
          <w:ilvl w:val="1"/>
          <w:numId w:val="4"/>
        </w:numPr>
      </w:pPr>
      <w:r w:rsidRPr="0044186A">
        <w:t>Унищожаване на сделката, чрез която инвеститор е придобил ценни книжа</w:t>
      </w:r>
    </w:p>
    <w:p w14:paraId="5125D3EB" w14:textId="77777777" w:rsidR="0044186A" w:rsidRPr="0044186A" w:rsidRDefault="0044186A" w:rsidP="0044186A">
      <w:pPr>
        <w:numPr>
          <w:ilvl w:val="0"/>
          <w:numId w:val="4"/>
        </w:numPr>
      </w:pPr>
      <w:r w:rsidRPr="0044186A">
        <w:t>Цели на отговорността при публикуването на проспект, който съдържа невярна, непълна или заблуждаваща информация</w:t>
      </w:r>
    </w:p>
    <w:p w14:paraId="333FB357" w14:textId="77777777" w:rsidR="0044186A" w:rsidRPr="0044186A" w:rsidRDefault="0044186A" w:rsidP="0044186A">
      <w:r w:rsidRPr="0044186A">
        <w:t>Заключение</w:t>
      </w:r>
      <w:r w:rsidRPr="0044186A">
        <w:br/>
      </w:r>
      <w:r w:rsidRPr="0044186A">
        <w:rPr>
          <w:b/>
          <w:bCs/>
        </w:rPr>
        <w:t>Приложения</w:t>
      </w:r>
    </w:p>
    <w:p w14:paraId="2DCFE9B2" w14:textId="77777777" w:rsidR="0044186A" w:rsidRPr="0044186A" w:rsidRDefault="0044186A" w:rsidP="0044186A">
      <w:pPr>
        <w:numPr>
          <w:ilvl w:val="0"/>
          <w:numId w:val="5"/>
        </w:numPr>
      </w:pPr>
      <w:r w:rsidRPr="0044186A">
        <w:t>Минимално съдържание на проспекта</w:t>
      </w:r>
    </w:p>
    <w:p w14:paraId="1C452A62" w14:textId="77777777" w:rsidR="0044186A" w:rsidRPr="0044186A" w:rsidRDefault="0044186A" w:rsidP="0044186A">
      <w:pPr>
        <w:numPr>
          <w:ilvl w:val="0"/>
          <w:numId w:val="5"/>
        </w:numPr>
      </w:pPr>
      <w:r w:rsidRPr="0044186A">
        <w:t>Минимално съдържание на регистрационния документ</w:t>
      </w:r>
    </w:p>
    <w:p w14:paraId="2477A77A" w14:textId="77777777" w:rsidR="0044186A" w:rsidRPr="0044186A" w:rsidRDefault="0044186A" w:rsidP="0044186A">
      <w:pPr>
        <w:numPr>
          <w:ilvl w:val="0"/>
          <w:numId w:val="5"/>
        </w:numPr>
      </w:pPr>
      <w:r w:rsidRPr="0044186A">
        <w:t>Минимално съдържание на документа за ценни книжа</w:t>
      </w:r>
    </w:p>
    <w:p w14:paraId="1D60BDCD" w14:textId="77777777" w:rsidR="0044186A" w:rsidRPr="0044186A" w:rsidRDefault="0044186A" w:rsidP="0044186A">
      <w:pPr>
        <w:numPr>
          <w:ilvl w:val="0"/>
          <w:numId w:val="5"/>
        </w:numPr>
      </w:pPr>
      <w:r w:rsidRPr="0044186A">
        <w:t>Минимално съдържание на регистрационния документ за проспекта на ЕС за растеж</w:t>
      </w:r>
    </w:p>
    <w:p w14:paraId="235E2A15" w14:textId="77777777" w:rsidR="0044186A" w:rsidRPr="0044186A" w:rsidRDefault="0044186A" w:rsidP="0044186A">
      <w:pPr>
        <w:numPr>
          <w:ilvl w:val="0"/>
          <w:numId w:val="5"/>
        </w:numPr>
      </w:pPr>
      <w:r w:rsidRPr="0044186A">
        <w:t>Минимално съдържание на документа за ценни книжа за проспекта на ЕС за растеж</w:t>
      </w:r>
    </w:p>
    <w:p w14:paraId="6E811B7A" w14:textId="77777777" w:rsidR="0044186A" w:rsidRPr="0044186A" w:rsidRDefault="0044186A" w:rsidP="0044186A">
      <w:pPr>
        <w:numPr>
          <w:ilvl w:val="0"/>
          <w:numId w:val="5"/>
        </w:numPr>
      </w:pPr>
      <w:r w:rsidRPr="0044186A">
        <w:t>Минимална информация, която трябва да бъде включена в проспекта на ЕС за възстановяване</w:t>
      </w:r>
    </w:p>
    <w:p w14:paraId="6A080BD5" w14:textId="77777777" w:rsidR="0044186A" w:rsidRPr="0044186A" w:rsidRDefault="0044186A" w:rsidP="0044186A">
      <w:pPr>
        <w:numPr>
          <w:ilvl w:val="0"/>
          <w:numId w:val="5"/>
        </w:numPr>
      </w:pPr>
      <w:r w:rsidRPr="0044186A">
        <w:t>Определения, използвани от Регламента относно проспекта</w:t>
      </w:r>
    </w:p>
    <w:p w14:paraId="4F442A89" w14:textId="51BAD59A" w:rsidR="00A825F2" w:rsidRDefault="0044186A" w:rsidP="0044186A">
      <w:r w:rsidRPr="0044186A">
        <w:t>Библиография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7B7F"/>
    <w:multiLevelType w:val="multilevel"/>
    <w:tmpl w:val="2716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B17BB"/>
    <w:multiLevelType w:val="multilevel"/>
    <w:tmpl w:val="2904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A509D3"/>
    <w:multiLevelType w:val="multilevel"/>
    <w:tmpl w:val="1500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D7500D"/>
    <w:multiLevelType w:val="multilevel"/>
    <w:tmpl w:val="B112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9C243F"/>
    <w:multiLevelType w:val="multilevel"/>
    <w:tmpl w:val="806E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EE"/>
    <w:rsid w:val="002051EE"/>
    <w:rsid w:val="0044186A"/>
    <w:rsid w:val="0089545E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9DEC7-842D-4C6E-B494-14300CF5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4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2024-04-04T09:06:00Z</dcterms:created>
  <dcterms:modified xsi:type="dcterms:W3CDTF">2024-04-04T09:07:00Z</dcterms:modified>
</cp:coreProperties>
</file>