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E9E7D" w14:textId="77777777" w:rsidR="00F45AB7" w:rsidRPr="00F45AB7" w:rsidRDefault="00F45AB7" w:rsidP="00F45AB7">
      <w:r w:rsidRPr="00F45AB7">
        <w:t>Използвани съкращения</w:t>
      </w:r>
      <w:r w:rsidRPr="00F45AB7">
        <w:br/>
        <w:t>Предговор</w:t>
      </w:r>
      <w:r w:rsidRPr="00F45AB7">
        <w:br/>
      </w:r>
      <w:r w:rsidRPr="00F45AB7">
        <w:rPr>
          <w:b/>
          <w:bCs/>
        </w:rPr>
        <w:t>Въведение. Международни отношения, спорове и ролята на обезпечителната защита</w:t>
      </w:r>
    </w:p>
    <w:p w14:paraId="78130057" w14:textId="77777777" w:rsidR="00F45AB7" w:rsidRPr="00F45AB7" w:rsidRDefault="00F45AB7" w:rsidP="00F45AB7">
      <w:pPr>
        <w:numPr>
          <w:ilvl w:val="0"/>
          <w:numId w:val="1"/>
        </w:numPr>
      </w:pPr>
      <w:r w:rsidRPr="00F45AB7">
        <w:t>Частноправните отношения с международен елемент и свързаните с тях правни спорове</w:t>
      </w:r>
    </w:p>
    <w:p w14:paraId="0C010F22" w14:textId="77777777" w:rsidR="00F45AB7" w:rsidRPr="00F45AB7" w:rsidRDefault="00F45AB7" w:rsidP="00F45AB7">
      <w:pPr>
        <w:numPr>
          <w:ilvl w:val="1"/>
          <w:numId w:val="1"/>
        </w:numPr>
      </w:pPr>
      <w:r w:rsidRPr="00F45AB7">
        <w:t>Понятие за спор философски, психологически, социологически аспекти</w:t>
      </w:r>
    </w:p>
    <w:p w14:paraId="1FAE32D7" w14:textId="77777777" w:rsidR="00F45AB7" w:rsidRPr="00F45AB7" w:rsidRDefault="00F45AB7" w:rsidP="00F45AB7">
      <w:pPr>
        <w:numPr>
          <w:ilvl w:val="1"/>
          <w:numId w:val="1"/>
        </w:numPr>
      </w:pPr>
      <w:r w:rsidRPr="00F45AB7">
        <w:t>Определение за разрешаване на спор</w:t>
      </w:r>
    </w:p>
    <w:p w14:paraId="78E13160" w14:textId="77777777" w:rsidR="00F45AB7" w:rsidRPr="00F45AB7" w:rsidRDefault="00F45AB7" w:rsidP="00F45AB7">
      <w:pPr>
        <w:numPr>
          <w:ilvl w:val="1"/>
          <w:numId w:val="1"/>
        </w:numPr>
      </w:pPr>
      <w:r w:rsidRPr="00F45AB7">
        <w:t>Правни аспекти на спора и процеса по разрешаването му</w:t>
      </w:r>
    </w:p>
    <w:p w14:paraId="723036D1" w14:textId="77777777" w:rsidR="00F45AB7" w:rsidRPr="00F45AB7" w:rsidRDefault="00F45AB7" w:rsidP="00F45AB7">
      <w:pPr>
        <w:numPr>
          <w:ilvl w:val="1"/>
          <w:numId w:val="1"/>
        </w:numPr>
      </w:pPr>
      <w:r w:rsidRPr="00F45AB7">
        <w:t>Международен (</w:t>
      </w:r>
      <w:proofErr w:type="spellStart"/>
      <w:r w:rsidRPr="00F45AB7">
        <w:t>презграничен</w:t>
      </w:r>
      <w:proofErr w:type="spellEnd"/>
      <w:r w:rsidRPr="00F45AB7">
        <w:t>) и частноправен характер на спора</w:t>
      </w:r>
    </w:p>
    <w:p w14:paraId="3EB3F560" w14:textId="77777777" w:rsidR="00F45AB7" w:rsidRPr="00F45AB7" w:rsidRDefault="00F45AB7" w:rsidP="00F45AB7">
      <w:pPr>
        <w:numPr>
          <w:ilvl w:val="0"/>
          <w:numId w:val="1"/>
        </w:numPr>
      </w:pPr>
      <w:r w:rsidRPr="00F45AB7">
        <w:t>Понятие за обезпечение на иск и обезпечителни мерки</w:t>
      </w:r>
    </w:p>
    <w:p w14:paraId="18D92AAF" w14:textId="77777777" w:rsidR="00F45AB7" w:rsidRPr="00F45AB7" w:rsidRDefault="00F45AB7" w:rsidP="00F45AB7">
      <w:pPr>
        <w:numPr>
          <w:ilvl w:val="1"/>
          <w:numId w:val="1"/>
        </w:numPr>
      </w:pPr>
      <w:r w:rsidRPr="00F45AB7">
        <w:t>Терминология</w:t>
      </w:r>
    </w:p>
    <w:p w14:paraId="5E474800" w14:textId="77777777" w:rsidR="00F45AB7" w:rsidRPr="00F45AB7" w:rsidRDefault="00F45AB7" w:rsidP="00F45AB7">
      <w:pPr>
        <w:numPr>
          <w:ilvl w:val="1"/>
          <w:numId w:val="1"/>
        </w:numPr>
      </w:pPr>
      <w:r w:rsidRPr="00F45AB7">
        <w:t>Определение за обезпечение на иска и обезпечителни мерки</w:t>
      </w:r>
    </w:p>
    <w:p w14:paraId="6FA20C54" w14:textId="77777777" w:rsidR="00F45AB7" w:rsidRPr="00F45AB7" w:rsidRDefault="00F45AB7" w:rsidP="00F45AB7">
      <w:pPr>
        <w:numPr>
          <w:ilvl w:val="0"/>
          <w:numId w:val="1"/>
        </w:numPr>
      </w:pPr>
      <w:r w:rsidRPr="00F45AB7">
        <w:t>Тези на настоящото изследване</w:t>
      </w:r>
    </w:p>
    <w:p w14:paraId="36BFD4AC" w14:textId="77777777" w:rsidR="00F45AB7" w:rsidRPr="00F45AB7" w:rsidRDefault="00F45AB7" w:rsidP="00F45AB7">
      <w:r w:rsidRPr="00F45AB7">
        <w:rPr>
          <w:b/>
          <w:bCs/>
        </w:rPr>
        <w:t>Основание и международна компетентност за обезпечаване на иск</w:t>
      </w:r>
    </w:p>
    <w:p w14:paraId="784EA286" w14:textId="77777777" w:rsidR="00F45AB7" w:rsidRPr="00F45AB7" w:rsidRDefault="00F45AB7" w:rsidP="00F45AB7">
      <w:pPr>
        <w:numPr>
          <w:ilvl w:val="0"/>
          <w:numId w:val="2"/>
        </w:numPr>
      </w:pPr>
      <w:r w:rsidRPr="00F45AB7">
        <w:t>Производства по международни граждански и търговски дела</w:t>
      </w:r>
    </w:p>
    <w:p w14:paraId="7BBDD8ED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>Преглед на юрисдикционната система на режима Брюксел в рамките на правото на ЕС</w:t>
      </w:r>
    </w:p>
    <w:p w14:paraId="3D37EBD1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 xml:space="preserve">Международна компетентност за обезпечаване на иска съгласно Регламент Брюксел </w:t>
      </w:r>
      <w:proofErr w:type="spellStart"/>
      <w:r w:rsidRPr="00F45AB7">
        <w:t>Іа</w:t>
      </w:r>
      <w:proofErr w:type="spellEnd"/>
    </w:p>
    <w:p w14:paraId="255E842C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 xml:space="preserve">Компетентност съгласно чл. 35 от Регламент Брюксел </w:t>
      </w:r>
      <w:proofErr w:type="spellStart"/>
      <w:r w:rsidRPr="00F45AB7">
        <w:t>Іа</w:t>
      </w:r>
      <w:proofErr w:type="spellEnd"/>
    </w:p>
    <w:p w14:paraId="36015E42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 xml:space="preserve">Изпълнение на обезпечителни мерки, постановени по чл. 35 от </w:t>
      </w:r>
      <w:proofErr w:type="spellStart"/>
      <w:r w:rsidRPr="00F45AB7">
        <w:t>от</w:t>
      </w:r>
      <w:proofErr w:type="spellEnd"/>
      <w:r w:rsidRPr="00F45AB7">
        <w:t xml:space="preserve"> Регламент Брюксел </w:t>
      </w:r>
      <w:proofErr w:type="spellStart"/>
      <w:r w:rsidRPr="00F45AB7">
        <w:t>Іа</w:t>
      </w:r>
      <w:proofErr w:type="spellEnd"/>
    </w:p>
    <w:p w14:paraId="6D89CE62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>Преглед на режима Брюксел ІІ</w:t>
      </w:r>
    </w:p>
    <w:p w14:paraId="5ABF7F95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>Други регламенти на ЕС</w:t>
      </w:r>
    </w:p>
    <w:p w14:paraId="7F8E6C3D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>Международна компетентност на българския съд да обезпечи иск. Компетентност съгласно КМЧП</w:t>
      </w:r>
    </w:p>
    <w:p w14:paraId="15DB5CB2" w14:textId="77777777" w:rsidR="00F45AB7" w:rsidRPr="00F45AB7" w:rsidRDefault="00F45AB7" w:rsidP="00F45AB7">
      <w:pPr>
        <w:numPr>
          <w:ilvl w:val="0"/>
          <w:numId w:val="2"/>
        </w:numPr>
      </w:pPr>
      <w:r w:rsidRPr="00F45AB7">
        <w:t>Производство по международен търговски арбитраж</w:t>
      </w:r>
    </w:p>
    <w:p w14:paraId="1B7FC7F2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>Компетентност на арбитражния съд да обезпечава иск</w:t>
      </w:r>
    </w:p>
    <w:p w14:paraId="102659FF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>Конкуренция между съдебна и арбитражна обезпечителна компетентност</w:t>
      </w:r>
    </w:p>
    <w:p w14:paraId="2A573F44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>Взаимовръзка между компетентността на държавен съд и арбитражен съд. Ролята на съда по отношение на арбитражната компетентност да обезпечи иска</w:t>
      </w:r>
    </w:p>
    <w:p w14:paraId="7022CCF2" w14:textId="77777777" w:rsidR="00F45AB7" w:rsidRPr="00F45AB7" w:rsidRDefault="00F45AB7" w:rsidP="00F45AB7">
      <w:pPr>
        <w:numPr>
          <w:ilvl w:val="1"/>
          <w:numId w:val="2"/>
        </w:numPr>
      </w:pPr>
      <w:r w:rsidRPr="00F45AB7">
        <w:t>Право, приложимо към определянето на обезпечителната компетентност</w:t>
      </w:r>
    </w:p>
    <w:p w14:paraId="021D576E" w14:textId="77777777" w:rsidR="00F45AB7" w:rsidRPr="00F45AB7" w:rsidRDefault="00F45AB7" w:rsidP="00F45AB7">
      <w:pPr>
        <w:numPr>
          <w:ilvl w:val="0"/>
          <w:numId w:val="2"/>
        </w:numPr>
      </w:pPr>
      <w:r w:rsidRPr="00F45AB7">
        <w:t>Правен режим на обезпечението в производствата пред Международния център за уреждане на инвестиционни спорове ICSID. Компетентност за допускане на обезпечителни мерки</w:t>
      </w:r>
    </w:p>
    <w:p w14:paraId="3AAFBFA6" w14:textId="77777777" w:rsidR="00F45AB7" w:rsidRPr="00F45AB7" w:rsidRDefault="00F45AB7" w:rsidP="00F45AB7">
      <w:r w:rsidRPr="00F45AB7">
        <w:rPr>
          <w:b/>
          <w:bCs/>
        </w:rPr>
        <w:lastRenderedPageBreak/>
        <w:t>Характеристика на обезпечителния процес - същност, видове и действие на обезпечителните мерки</w:t>
      </w:r>
    </w:p>
    <w:p w14:paraId="03580EFD" w14:textId="77777777" w:rsidR="00F45AB7" w:rsidRPr="00F45AB7" w:rsidRDefault="00F45AB7" w:rsidP="00F45AB7">
      <w:pPr>
        <w:numPr>
          <w:ilvl w:val="0"/>
          <w:numId w:val="3"/>
        </w:numPr>
      </w:pPr>
      <w:r w:rsidRPr="00F45AB7">
        <w:t>Критерии за допускане на обезпечение на иска</w:t>
      </w:r>
    </w:p>
    <w:p w14:paraId="6443B58F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Съгласно националното законодателство преглед на различни правни системи</w:t>
      </w:r>
    </w:p>
    <w:p w14:paraId="14990AE4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Обща характеристика на националната процесуална уредба на обезпечителния процес</w:t>
      </w:r>
    </w:p>
    <w:p w14:paraId="4E437B6F" w14:textId="77777777" w:rsidR="00F45AB7" w:rsidRPr="00F45AB7" w:rsidRDefault="00F45AB7" w:rsidP="00F45AB7">
      <w:pPr>
        <w:numPr>
          <w:ilvl w:val="0"/>
          <w:numId w:val="3"/>
        </w:numPr>
      </w:pPr>
      <w:r w:rsidRPr="00F45AB7">
        <w:t>В международния търговски арбитраж</w:t>
      </w:r>
    </w:p>
    <w:p w14:paraId="0DE32A6B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Общи критерии съгласно правилниците на различни арбитражни институции</w:t>
      </w:r>
    </w:p>
    <w:p w14:paraId="5EDEFD39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Особени критерии</w:t>
      </w:r>
    </w:p>
    <w:p w14:paraId="2BA54FF2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Правен режим на обезпечението в производствата пред Международния център за уреждане на инвестиционни спорове ICSID. Критерии за допускане на обезпечение</w:t>
      </w:r>
    </w:p>
    <w:p w14:paraId="7FF8C164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Процесуален режим на обезпечителните мерки, постановени от арбитражен съд</w:t>
      </w:r>
    </w:p>
    <w:p w14:paraId="0520084D" w14:textId="77777777" w:rsidR="00F45AB7" w:rsidRPr="00F45AB7" w:rsidRDefault="00F45AB7" w:rsidP="00F45AB7">
      <w:pPr>
        <w:numPr>
          <w:ilvl w:val="0"/>
          <w:numId w:val="3"/>
        </w:numPr>
      </w:pPr>
      <w:r w:rsidRPr="00F45AB7">
        <w:t>Видове обезпечителни мерки</w:t>
      </w:r>
    </w:p>
    <w:p w14:paraId="38EB25E6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Съгласно националното законодателство преглед на различни правни системи</w:t>
      </w:r>
    </w:p>
    <w:p w14:paraId="3019BDAD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В международния търговски арбитраж</w:t>
      </w:r>
    </w:p>
    <w:p w14:paraId="668E5682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Видове обезпечителни мерки в производствата пред Международния център за уреждане на инвестиционни спорове ICSID</w:t>
      </w:r>
    </w:p>
    <w:p w14:paraId="7D99B00F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>Преглед на специфични видове спорове с международен характер и обезпечителните мерки, свързани с тях</w:t>
      </w:r>
    </w:p>
    <w:p w14:paraId="0C0432CD" w14:textId="77777777" w:rsidR="00F45AB7" w:rsidRPr="00F45AB7" w:rsidRDefault="00F45AB7" w:rsidP="00F45AB7">
      <w:pPr>
        <w:numPr>
          <w:ilvl w:val="1"/>
          <w:numId w:val="3"/>
        </w:numPr>
      </w:pPr>
      <w:r w:rsidRPr="00F45AB7">
        <w:t xml:space="preserve">Производствата по допускане на обезпечение с </w:t>
      </w:r>
      <w:proofErr w:type="spellStart"/>
      <w:r w:rsidRPr="00F45AB7">
        <w:t>презгранично</w:t>
      </w:r>
      <w:proofErr w:type="spellEnd"/>
      <w:r w:rsidRPr="00F45AB7">
        <w:t xml:space="preserve"> действие в българската съдебна практика</w:t>
      </w:r>
    </w:p>
    <w:p w14:paraId="181DA5FC" w14:textId="77777777" w:rsidR="00F45AB7" w:rsidRPr="00F45AB7" w:rsidRDefault="00F45AB7" w:rsidP="00F45AB7">
      <w:r w:rsidRPr="00F45AB7">
        <w:rPr>
          <w:b/>
          <w:bCs/>
        </w:rPr>
        <w:t>Изпълнение на обезпечителните мерки</w:t>
      </w:r>
    </w:p>
    <w:p w14:paraId="44758146" w14:textId="77777777" w:rsidR="00F45AB7" w:rsidRPr="00F45AB7" w:rsidRDefault="00F45AB7" w:rsidP="00F45AB7">
      <w:pPr>
        <w:numPr>
          <w:ilvl w:val="0"/>
          <w:numId w:val="4"/>
        </w:numPr>
      </w:pPr>
      <w:r w:rsidRPr="00F45AB7">
        <w:t xml:space="preserve">Изпълнение на обезпечението по международни граждански и търговски дела по Регламент Брюксел </w:t>
      </w:r>
      <w:proofErr w:type="spellStart"/>
      <w:r w:rsidRPr="00F45AB7">
        <w:t>Іа</w:t>
      </w:r>
      <w:proofErr w:type="spellEnd"/>
    </w:p>
    <w:p w14:paraId="6AED3444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Формални изисквания</w:t>
      </w:r>
    </w:p>
    <w:p w14:paraId="28FB0CBD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Изисквания за целите на изпълнението</w:t>
      </w:r>
    </w:p>
    <w:p w14:paraId="42248833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 xml:space="preserve">Приложно поле на чл. 42 от Регламент Брюксел </w:t>
      </w:r>
      <w:proofErr w:type="spellStart"/>
      <w:r w:rsidRPr="00F45AB7">
        <w:t>Іа</w:t>
      </w:r>
      <w:proofErr w:type="spellEnd"/>
    </w:p>
    <w:p w14:paraId="0E89E8B1" w14:textId="77777777" w:rsidR="00F45AB7" w:rsidRPr="00F45AB7" w:rsidRDefault="00F45AB7" w:rsidP="00F45AB7">
      <w:pPr>
        <w:numPr>
          <w:ilvl w:val="1"/>
          <w:numId w:val="4"/>
        </w:numPr>
      </w:pPr>
      <w:proofErr w:type="spellStart"/>
      <w:r w:rsidRPr="00F45AB7">
        <w:t>Презгранично</w:t>
      </w:r>
      <w:proofErr w:type="spellEnd"/>
      <w:r w:rsidRPr="00F45AB7">
        <w:t xml:space="preserve"> изпълнение и мерки, постановени в едностранни (</w:t>
      </w:r>
      <w:proofErr w:type="spellStart"/>
      <w:r w:rsidRPr="00F45AB7">
        <w:t>ex</w:t>
      </w:r>
      <w:proofErr w:type="spellEnd"/>
      <w:r w:rsidRPr="00F45AB7">
        <w:t xml:space="preserve"> </w:t>
      </w:r>
      <w:proofErr w:type="spellStart"/>
      <w:r w:rsidRPr="00F45AB7">
        <w:t>parte</w:t>
      </w:r>
      <w:proofErr w:type="spellEnd"/>
      <w:r w:rsidRPr="00F45AB7">
        <w:t>) производства</w:t>
      </w:r>
    </w:p>
    <w:p w14:paraId="5BB091CF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Привеждане на обезпечителните мерки в действие</w:t>
      </w:r>
    </w:p>
    <w:p w14:paraId="1FD6A54B" w14:textId="77777777" w:rsidR="00F45AB7" w:rsidRPr="00F45AB7" w:rsidRDefault="00F45AB7" w:rsidP="00F45AB7">
      <w:pPr>
        <w:numPr>
          <w:ilvl w:val="1"/>
          <w:numId w:val="4"/>
        </w:numPr>
      </w:pPr>
      <w:proofErr w:type="spellStart"/>
      <w:r w:rsidRPr="00F45AB7">
        <w:t>Презгранично</w:t>
      </w:r>
      <w:proofErr w:type="spellEnd"/>
      <w:r w:rsidRPr="00F45AB7">
        <w:t xml:space="preserve"> изпълнение на обезпечителни мерки, постановени на основание чл. 35 от Регламент Брюксел </w:t>
      </w:r>
      <w:proofErr w:type="spellStart"/>
      <w:r w:rsidRPr="00F45AB7">
        <w:t>Іа</w:t>
      </w:r>
      <w:proofErr w:type="spellEnd"/>
    </w:p>
    <w:p w14:paraId="088FE1BA" w14:textId="77777777" w:rsidR="00F45AB7" w:rsidRPr="00F45AB7" w:rsidRDefault="00F45AB7" w:rsidP="00F45AB7">
      <w:pPr>
        <w:numPr>
          <w:ilvl w:val="0"/>
          <w:numId w:val="4"/>
        </w:numPr>
      </w:pPr>
      <w:r w:rsidRPr="00F45AB7">
        <w:lastRenderedPageBreak/>
        <w:t>Признаване и изпълнение на обезпечителни мерки, постановени в международния арбитраж</w:t>
      </w:r>
    </w:p>
    <w:p w14:paraId="12D347E2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Приложимо право към признаване и изпълнение на обезпечителни мерки</w:t>
      </w:r>
    </w:p>
    <w:p w14:paraId="4E795C21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Адресати на изпълнението на обезпечителни мерки, постановени от арбитраж</w:t>
      </w:r>
    </w:p>
    <w:p w14:paraId="20D02C37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Ред за изпълнение. Компетентни органи</w:t>
      </w:r>
    </w:p>
    <w:p w14:paraId="6D3D05BB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Последици от неизпълнение</w:t>
      </w:r>
    </w:p>
    <w:p w14:paraId="5911C946" w14:textId="77777777" w:rsidR="00F45AB7" w:rsidRPr="00F45AB7" w:rsidRDefault="00F45AB7" w:rsidP="00F45AB7">
      <w:pPr>
        <w:numPr>
          <w:ilvl w:val="0"/>
          <w:numId w:val="4"/>
        </w:numPr>
      </w:pPr>
      <w:r w:rsidRPr="00F45AB7">
        <w:t>Изпълнение на обезпечителните мерки, постановени от Международния център за уреждане на инвестиционни спорове ICSID</w:t>
      </w:r>
    </w:p>
    <w:p w14:paraId="1A636377" w14:textId="77777777" w:rsidR="00F45AB7" w:rsidRPr="00F45AB7" w:rsidRDefault="00F45AB7" w:rsidP="00F45AB7">
      <w:pPr>
        <w:numPr>
          <w:ilvl w:val="0"/>
          <w:numId w:val="4"/>
        </w:numPr>
      </w:pPr>
      <w:r w:rsidRPr="00F45AB7">
        <w:t>Изпълнение съгласно националното законодателство. Последици от неизпълнение на обезпечителните мерки съгласно националното законодателство</w:t>
      </w:r>
    </w:p>
    <w:p w14:paraId="71EB8852" w14:textId="77777777" w:rsidR="00F45AB7" w:rsidRPr="00F45AB7" w:rsidRDefault="00F45AB7" w:rsidP="00F45AB7">
      <w:pPr>
        <w:numPr>
          <w:ilvl w:val="0"/>
          <w:numId w:val="4"/>
        </w:numPr>
      </w:pPr>
      <w:r w:rsidRPr="00F45AB7">
        <w:t>Изпълнение на обезпечение, постановено от чуждестранен съд или арбитраж, в България</w:t>
      </w:r>
    </w:p>
    <w:p w14:paraId="73D9A58D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 xml:space="preserve">Изпълнение на обезпечителни актове, постановени по реда на Регламент Брюксел </w:t>
      </w:r>
      <w:proofErr w:type="spellStart"/>
      <w:r w:rsidRPr="00F45AB7">
        <w:t>Іа</w:t>
      </w:r>
      <w:proofErr w:type="spellEnd"/>
      <w:r w:rsidRPr="00F45AB7">
        <w:t xml:space="preserve"> съгласно ГПК</w:t>
      </w:r>
    </w:p>
    <w:p w14:paraId="7FB1047C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Изпълнение на обезпечителни актове от съд извън ЕС съгласно КМЧП и ГПК</w:t>
      </w:r>
    </w:p>
    <w:p w14:paraId="45060966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Изпълнение на обезпечителни актове от чуждестранен арбитражен съд съгласно ЗМТА и КМЧП</w:t>
      </w:r>
    </w:p>
    <w:p w14:paraId="13A36DBE" w14:textId="77777777" w:rsidR="00F45AB7" w:rsidRPr="00F45AB7" w:rsidRDefault="00F45AB7" w:rsidP="00F45AB7">
      <w:pPr>
        <w:numPr>
          <w:ilvl w:val="1"/>
          <w:numId w:val="4"/>
        </w:numPr>
      </w:pPr>
      <w:r w:rsidRPr="00F45AB7">
        <w:t>Изпълнение на акт, постановен от Международния център за уреждане на инвестиционни спорове ICSID</w:t>
      </w:r>
    </w:p>
    <w:p w14:paraId="7FB5C3C6" w14:textId="77777777" w:rsidR="00F45AB7" w:rsidRPr="00F45AB7" w:rsidRDefault="00F45AB7" w:rsidP="00F45AB7">
      <w:r w:rsidRPr="00F45AB7">
        <w:rPr>
          <w:b/>
          <w:bCs/>
        </w:rPr>
        <w:t>Изводи</w:t>
      </w:r>
    </w:p>
    <w:p w14:paraId="7B247425" w14:textId="77777777" w:rsidR="00F45AB7" w:rsidRPr="00F45AB7" w:rsidRDefault="00F45AB7" w:rsidP="00F45AB7">
      <w:pPr>
        <w:numPr>
          <w:ilvl w:val="0"/>
          <w:numId w:val="5"/>
        </w:numPr>
      </w:pPr>
      <w:r w:rsidRPr="00F45AB7">
        <w:t>Същност на обезпечението на иска и обезпечителните мерки. Значение на международния елемент в спора</w:t>
      </w:r>
    </w:p>
    <w:p w14:paraId="40889AF7" w14:textId="77777777" w:rsidR="00F45AB7" w:rsidRPr="00F45AB7" w:rsidRDefault="00F45AB7" w:rsidP="00F45AB7">
      <w:pPr>
        <w:numPr>
          <w:ilvl w:val="0"/>
          <w:numId w:val="5"/>
        </w:numPr>
      </w:pPr>
      <w:r w:rsidRPr="00F45AB7">
        <w:t>Сравнение на ефективността и процедурата: обезпечението на иска в държавния съд, съпоставено с арбитражния съд</w:t>
      </w:r>
    </w:p>
    <w:p w14:paraId="53ADC262" w14:textId="77777777" w:rsidR="00F45AB7" w:rsidRPr="00F45AB7" w:rsidRDefault="00F45AB7" w:rsidP="00F45AB7">
      <w:pPr>
        <w:numPr>
          <w:ilvl w:val="1"/>
          <w:numId w:val="5"/>
        </w:numPr>
      </w:pPr>
      <w:r w:rsidRPr="00F45AB7">
        <w:t>Общи черти</w:t>
      </w:r>
    </w:p>
    <w:p w14:paraId="4C06FC79" w14:textId="77777777" w:rsidR="00F45AB7" w:rsidRPr="00F45AB7" w:rsidRDefault="00F45AB7" w:rsidP="00F45AB7">
      <w:pPr>
        <w:numPr>
          <w:ilvl w:val="1"/>
          <w:numId w:val="5"/>
        </w:numPr>
      </w:pPr>
      <w:r w:rsidRPr="00F45AB7">
        <w:t>Разлики</w:t>
      </w:r>
    </w:p>
    <w:p w14:paraId="431083C0" w14:textId="77777777" w:rsidR="00F45AB7" w:rsidRPr="00F45AB7" w:rsidRDefault="00F45AB7" w:rsidP="00F45AB7">
      <w:pPr>
        <w:numPr>
          <w:ilvl w:val="0"/>
          <w:numId w:val="5"/>
        </w:numPr>
      </w:pPr>
      <w:r w:rsidRPr="00F45AB7">
        <w:t>Ролята на обезпечението през призмата на икономическата теория на правото</w:t>
      </w:r>
    </w:p>
    <w:p w14:paraId="6B9B35C3" w14:textId="77777777" w:rsidR="00F45AB7" w:rsidRPr="00F45AB7" w:rsidRDefault="00F45AB7" w:rsidP="00F45AB7">
      <w:pPr>
        <w:numPr>
          <w:ilvl w:val="0"/>
          <w:numId w:val="5"/>
        </w:numPr>
      </w:pPr>
      <w:r w:rsidRPr="00F45AB7">
        <w:t>Координация и конкуренция на обезпечителни мерки</w:t>
      </w:r>
    </w:p>
    <w:p w14:paraId="3C6A71F3" w14:textId="77777777" w:rsidR="00F45AB7" w:rsidRPr="00F45AB7" w:rsidRDefault="00F45AB7" w:rsidP="00F45AB7">
      <w:pPr>
        <w:numPr>
          <w:ilvl w:val="1"/>
          <w:numId w:val="5"/>
        </w:numPr>
      </w:pPr>
      <w:r w:rsidRPr="00F45AB7">
        <w:t>Обезпечение, постановено от държавен съд</w:t>
      </w:r>
    </w:p>
    <w:p w14:paraId="5AA257B5" w14:textId="77777777" w:rsidR="00F45AB7" w:rsidRPr="00F45AB7" w:rsidRDefault="00F45AB7" w:rsidP="00F45AB7">
      <w:pPr>
        <w:numPr>
          <w:ilvl w:val="1"/>
          <w:numId w:val="5"/>
        </w:numPr>
      </w:pPr>
      <w:r w:rsidRPr="00F45AB7">
        <w:t>Координация на обезпечителни мерки от държавен съд и от арбитражен съд</w:t>
      </w:r>
    </w:p>
    <w:p w14:paraId="210BB231" w14:textId="77777777" w:rsidR="00F45AB7" w:rsidRPr="00F45AB7" w:rsidRDefault="00F45AB7" w:rsidP="00F45AB7">
      <w:pPr>
        <w:numPr>
          <w:ilvl w:val="0"/>
          <w:numId w:val="5"/>
        </w:numPr>
      </w:pPr>
      <w:r w:rsidRPr="00F45AB7">
        <w:t>Критерии за допускане на обезпечение</w:t>
      </w:r>
    </w:p>
    <w:p w14:paraId="58BFC9CE" w14:textId="77777777" w:rsidR="00F45AB7" w:rsidRPr="00F45AB7" w:rsidRDefault="00F45AB7" w:rsidP="00F45AB7">
      <w:pPr>
        <w:numPr>
          <w:ilvl w:val="0"/>
          <w:numId w:val="5"/>
        </w:numPr>
      </w:pPr>
      <w:r w:rsidRPr="00F45AB7">
        <w:t>Класификация (типология) на обезпечителните мерки</w:t>
      </w:r>
    </w:p>
    <w:p w14:paraId="0FD66565" w14:textId="50ADD307" w:rsidR="00A825F2" w:rsidRDefault="00F45AB7" w:rsidP="00F45AB7">
      <w:r w:rsidRPr="00F45AB7">
        <w:t>Заключение</w:t>
      </w:r>
      <w:r w:rsidRPr="00F45AB7">
        <w:br/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75D9"/>
    <w:multiLevelType w:val="multilevel"/>
    <w:tmpl w:val="BA5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03457"/>
    <w:multiLevelType w:val="multilevel"/>
    <w:tmpl w:val="666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82BE8"/>
    <w:multiLevelType w:val="multilevel"/>
    <w:tmpl w:val="285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628BE"/>
    <w:multiLevelType w:val="multilevel"/>
    <w:tmpl w:val="792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A6260"/>
    <w:multiLevelType w:val="multilevel"/>
    <w:tmpl w:val="7CD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A0"/>
    <w:rsid w:val="0089545E"/>
    <w:rsid w:val="00E94AFF"/>
    <w:rsid w:val="00F45AB7"/>
    <w:rsid w:val="00F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4E29-32F6-4DA5-A7BA-FE3B8CC6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2024-04-29T10:24:00Z</dcterms:created>
  <dcterms:modified xsi:type="dcterms:W3CDTF">2024-04-29T10:24:00Z</dcterms:modified>
</cp:coreProperties>
</file>