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3851" w14:textId="77777777" w:rsidR="00E30737" w:rsidRPr="00E30737" w:rsidRDefault="00E30737" w:rsidP="00E30737">
      <w:r w:rsidRPr="00E30737">
        <w:t>Въведение. Подходи към историографските спорове</w:t>
      </w:r>
      <w:r w:rsidRPr="00E30737">
        <w:br/>
      </w:r>
      <w:r w:rsidRPr="00E30737">
        <w:rPr>
          <w:b/>
          <w:bCs/>
        </w:rPr>
        <w:t>Сръбско-български историографски спорове до Втората световна война</w:t>
      </w:r>
    </w:p>
    <w:p w14:paraId="7F353198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Предмет и начало на споровете</w:t>
      </w:r>
    </w:p>
    <w:p w14:paraId="36BCA0EF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Първи научни теории за Самуиловата държава</w:t>
      </w:r>
    </w:p>
    <w:p w14:paraId="7D76CF75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Публицисти, пропагандисти, учебници</w:t>
      </w:r>
    </w:p>
    <w:p w14:paraId="5201A527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 xml:space="preserve">Сръбската историографска атака: Стоян </w:t>
      </w:r>
      <w:proofErr w:type="spellStart"/>
      <w:r w:rsidRPr="00E30737">
        <w:t>Новакович</w:t>
      </w:r>
      <w:proofErr w:type="spellEnd"/>
      <w:r w:rsidRPr="00E30737">
        <w:t xml:space="preserve"> и Божидар </w:t>
      </w:r>
      <w:proofErr w:type="spellStart"/>
      <w:r w:rsidRPr="00E30737">
        <w:t>Прокич</w:t>
      </w:r>
      <w:proofErr w:type="spellEnd"/>
    </w:p>
    <w:p w14:paraId="2429A781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Българската реакция</w:t>
      </w:r>
    </w:p>
    <w:p w14:paraId="6D0BCDA3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Модифицирани български теории за Западното българско царство</w:t>
      </w:r>
    </w:p>
    <w:p w14:paraId="78DCD4E1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 xml:space="preserve">Нов рунд в спора: </w:t>
      </w:r>
      <w:proofErr w:type="spellStart"/>
      <w:r w:rsidRPr="00E30737">
        <w:t>Анастасиевич</w:t>
      </w:r>
      <w:proofErr w:type="spellEnd"/>
      <w:r w:rsidRPr="00E30737">
        <w:t xml:space="preserve"> и Мутафчиев</w:t>
      </w:r>
    </w:p>
    <w:p w14:paraId="4ADFC6E1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Опит за рекапитулация</w:t>
      </w:r>
    </w:p>
    <w:p w14:paraId="05DD8B6B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В търсене на български исторически права върху Македония и включването ѝ в българския национален разказ</w:t>
      </w:r>
    </w:p>
    <w:p w14:paraId="1F3A4E02" w14:textId="77777777" w:rsidR="00E30737" w:rsidRPr="00E30737" w:rsidRDefault="00E30737" w:rsidP="00E30737">
      <w:pPr>
        <w:numPr>
          <w:ilvl w:val="0"/>
          <w:numId w:val="1"/>
        </w:numPr>
      </w:pPr>
      <w:r w:rsidRPr="00E30737">
        <w:t>В търсене на сръбски исторически права върху Македония и включването ѝ в сръбския национален разказ</w:t>
      </w:r>
    </w:p>
    <w:p w14:paraId="1ACF56CE" w14:textId="77777777" w:rsidR="00E30737" w:rsidRPr="00E30737" w:rsidRDefault="00E30737" w:rsidP="00E30737">
      <w:r w:rsidRPr="00E30737">
        <w:rPr>
          <w:b/>
          <w:bCs/>
        </w:rPr>
        <w:t>Българо-сръбски историографски спорове след Втората световна война</w:t>
      </w:r>
    </w:p>
    <w:p w14:paraId="1F41D988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>Новият политически и идеологически контекст</w:t>
      </w:r>
    </w:p>
    <w:p w14:paraId="3C42EED4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>Догматично марксическите истории и идеологически схватки</w:t>
      </w:r>
    </w:p>
    <w:p w14:paraId="6ED10C3C" w14:textId="77777777" w:rsidR="00E30737" w:rsidRPr="00E30737" w:rsidRDefault="00E30737" w:rsidP="00E30737">
      <w:pPr>
        <w:numPr>
          <w:ilvl w:val="0"/>
          <w:numId w:val="2"/>
        </w:numPr>
      </w:pPr>
      <w:proofErr w:type="spellStart"/>
      <w:r w:rsidRPr="00E30737">
        <w:t>Югославянската</w:t>
      </w:r>
      <w:proofErr w:type="spellEnd"/>
      <w:r w:rsidRPr="00E30737">
        <w:t xml:space="preserve"> перспектива: </w:t>
      </w:r>
      <w:proofErr w:type="spellStart"/>
      <w:r w:rsidRPr="00E30737">
        <w:t>Острогорски</w:t>
      </w:r>
      <w:proofErr w:type="spellEnd"/>
      <w:r w:rsidRPr="00E30737">
        <w:t xml:space="preserve">, </w:t>
      </w:r>
      <w:proofErr w:type="spellStart"/>
      <w:r w:rsidRPr="00E30737">
        <w:t>Джурджев</w:t>
      </w:r>
      <w:proofErr w:type="spellEnd"/>
      <w:r w:rsidRPr="00E30737">
        <w:t xml:space="preserve">, </w:t>
      </w:r>
      <w:proofErr w:type="spellStart"/>
      <w:r w:rsidRPr="00E30737">
        <w:t>Графенауер</w:t>
      </w:r>
      <w:proofErr w:type="spellEnd"/>
    </w:p>
    <w:p w14:paraId="64CF561A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>Прегрупиране в българската историография: отхвърляне на идеята за Западна българска държава</w:t>
      </w:r>
    </w:p>
    <w:p w14:paraId="01270A7A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 xml:space="preserve">Коментариите на </w:t>
      </w:r>
      <w:proofErr w:type="spellStart"/>
      <w:r w:rsidRPr="00E30737">
        <w:t>Ферлуга</w:t>
      </w:r>
      <w:proofErr w:type="spellEnd"/>
      <w:r w:rsidRPr="00E30737">
        <w:t xml:space="preserve"> във Византийски извори и българската реакция</w:t>
      </w:r>
    </w:p>
    <w:p w14:paraId="51C9946E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>Повратът на българската комунистическа историография към национализъм</w:t>
      </w:r>
    </w:p>
    <w:p w14:paraId="3D501CF3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>Отново българските исторически права върху Македония</w:t>
      </w:r>
    </w:p>
    <w:p w14:paraId="4573652D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 xml:space="preserve">След социализма: </w:t>
      </w:r>
      <w:proofErr w:type="spellStart"/>
      <w:r w:rsidRPr="00E30737">
        <w:t>Сърджан</w:t>
      </w:r>
      <w:proofErr w:type="spellEnd"/>
      <w:r w:rsidRPr="00E30737">
        <w:t xml:space="preserve"> </w:t>
      </w:r>
      <w:proofErr w:type="spellStart"/>
      <w:r w:rsidRPr="00E30737">
        <w:t>Пириватрич</w:t>
      </w:r>
      <w:proofErr w:type="spellEnd"/>
      <w:r w:rsidRPr="00E30737">
        <w:t xml:space="preserve"> за Самуиловата държава и българската реакция</w:t>
      </w:r>
    </w:p>
    <w:p w14:paraId="76FD5373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>Българската историография за Самуиловата държава след 1989 г.</w:t>
      </w:r>
    </w:p>
    <w:p w14:paraId="6F775664" w14:textId="77777777" w:rsidR="00E30737" w:rsidRPr="00E30737" w:rsidRDefault="00E30737" w:rsidP="00E30737">
      <w:pPr>
        <w:numPr>
          <w:ilvl w:val="0"/>
          <w:numId w:val="2"/>
        </w:numPr>
      </w:pPr>
      <w:r w:rsidRPr="00E30737">
        <w:t>В заключение към сръбско-българските спорове</w:t>
      </w:r>
    </w:p>
    <w:p w14:paraId="503A1EA8" w14:textId="77777777" w:rsidR="00E30737" w:rsidRPr="00E30737" w:rsidRDefault="00E30737" w:rsidP="00E30737">
      <w:r w:rsidRPr="00E30737">
        <w:rPr>
          <w:b/>
          <w:bCs/>
        </w:rPr>
        <w:t>Българо-македонски полемики за Средновековието</w:t>
      </w:r>
    </w:p>
    <w:p w14:paraId="60B6F543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>Въвеждане в институционалния контекст</w:t>
      </w:r>
    </w:p>
    <w:p w14:paraId="65EBEA32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>Начало на македонския национален разказ: ранни македонски автори</w:t>
      </w:r>
    </w:p>
    <w:p w14:paraId="26847EB8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>Спорът през 1966 г. около 1050-годишнината от смъртта на Климент Охридски и българската официозна позиция от 1968 г.</w:t>
      </w:r>
    </w:p>
    <w:p w14:paraId="43FE2AAA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 xml:space="preserve">Македонските </w:t>
      </w:r>
      <w:proofErr w:type="spellStart"/>
      <w:r w:rsidRPr="00E30737">
        <w:t>склавинии</w:t>
      </w:r>
      <w:proofErr w:type="spellEnd"/>
      <w:r w:rsidRPr="00E30737">
        <w:t xml:space="preserve"> и тяхното покоряване</w:t>
      </w:r>
    </w:p>
    <w:p w14:paraId="08B7A316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>Християнизация и писменост на македонските славяни</w:t>
      </w:r>
    </w:p>
    <w:p w14:paraId="07F848FB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lastRenderedPageBreak/>
        <w:t>Богомилството</w:t>
      </w:r>
    </w:p>
    <w:p w14:paraId="5B146B52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>Самуиловата държава</w:t>
      </w:r>
    </w:p>
    <w:p w14:paraId="39661416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>Произход на Охридската архиепископия и съществуване под византийска власт</w:t>
      </w:r>
    </w:p>
    <w:p w14:paraId="1C1D6E08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 xml:space="preserve">Феодалните владетели </w:t>
      </w:r>
      <w:proofErr w:type="spellStart"/>
      <w:r w:rsidRPr="00E30737">
        <w:t>Хръс</w:t>
      </w:r>
      <w:proofErr w:type="spellEnd"/>
      <w:r w:rsidRPr="00E30737">
        <w:t xml:space="preserve"> и </w:t>
      </w:r>
      <w:proofErr w:type="spellStart"/>
      <w:r w:rsidRPr="00E30737">
        <w:t>Стрез</w:t>
      </w:r>
      <w:proofErr w:type="spellEnd"/>
      <w:r w:rsidRPr="00E30737">
        <w:t>. Под сръбска власт и до падането под османска власт</w:t>
      </w:r>
    </w:p>
    <w:p w14:paraId="3012DACF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 xml:space="preserve">Българският етногенезис и Македония: Ангелов, </w:t>
      </w:r>
      <w:proofErr w:type="spellStart"/>
      <w:r w:rsidRPr="00E30737">
        <w:t>Литаврин</w:t>
      </w:r>
      <w:proofErr w:type="spellEnd"/>
    </w:p>
    <w:p w14:paraId="5E610FFD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 xml:space="preserve">Македонският етногенезис и </w:t>
      </w:r>
      <w:proofErr w:type="spellStart"/>
      <w:r w:rsidRPr="00E30737">
        <w:t>континуитет</w:t>
      </w:r>
      <w:proofErr w:type="spellEnd"/>
      <w:r w:rsidRPr="00E30737">
        <w:t xml:space="preserve">: </w:t>
      </w:r>
      <w:proofErr w:type="spellStart"/>
      <w:r w:rsidRPr="00E30737">
        <w:t>Ристовски</w:t>
      </w:r>
      <w:proofErr w:type="spellEnd"/>
      <w:r w:rsidRPr="00E30737">
        <w:t xml:space="preserve">, </w:t>
      </w:r>
      <w:proofErr w:type="spellStart"/>
      <w:r w:rsidRPr="00E30737">
        <w:t>Антоляк</w:t>
      </w:r>
      <w:proofErr w:type="spellEnd"/>
      <w:r w:rsidRPr="00E30737">
        <w:t xml:space="preserve">, Панов, </w:t>
      </w:r>
      <w:proofErr w:type="spellStart"/>
      <w:r w:rsidRPr="00E30737">
        <w:t>Ташковски</w:t>
      </w:r>
      <w:proofErr w:type="spellEnd"/>
    </w:p>
    <w:p w14:paraId="4CAF401D" w14:textId="77777777" w:rsidR="00E30737" w:rsidRPr="00E30737" w:rsidRDefault="00E30737" w:rsidP="00E30737">
      <w:pPr>
        <w:numPr>
          <w:ilvl w:val="0"/>
          <w:numId w:val="3"/>
        </w:numPr>
      </w:pPr>
      <w:r w:rsidRPr="00E30737">
        <w:t>Полемиките след създаването на независима македонска държава (1991 г.)</w:t>
      </w:r>
    </w:p>
    <w:p w14:paraId="57C5398E" w14:textId="7A3B8541" w:rsidR="00A825F2" w:rsidRDefault="00E30737" w:rsidP="00E30737">
      <w:r w:rsidRPr="00E30737">
        <w:t>Опит за обобщение</w:t>
      </w:r>
      <w:r w:rsidRPr="00E30737">
        <w:br/>
        <w:t>Като заключение, доколкото може да се заключи нещо</w:t>
      </w:r>
      <w:r w:rsidRPr="00E30737">
        <w:br/>
        <w:t>Библиография</w:t>
      </w:r>
      <w:r w:rsidRPr="00E30737">
        <w:br/>
        <w:t>Извори</w:t>
      </w:r>
      <w:r w:rsidRPr="00E30737">
        <w:br/>
        <w:t>Научни трудове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797"/>
    <w:multiLevelType w:val="multilevel"/>
    <w:tmpl w:val="7A3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A0877"/>
    <w:multiLevelType w:val="multilevel"/>
    <w:tmpl w:val="FD9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F2152"/>
    <w:multiLevelType w:val="multilevel"/>
    <w:tmpl w:val="EE6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B3"/>
    <w:rsid w:val="003D17B3"/>
    <w:rsid w:val="0089545E"/>
    <w:rsid w:val="00E30737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7B24-93BD-4D94-8E76-729E2A8B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2024-06-07T10:53:00Z</dcterms:created>
  <dcterms:modified xsi:type="dcterms:W3CDTF">2024-06-07T10:54:00Z</dcterms:modified>
</cp:coreProperties>
</file>