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F692F" w14:textId="77777777" w:rsidR="003F38BB" w:rsidRPr="003F38BB" w:rsidRDefault="003F38BB" w:rsidP="003F38BB">
      <w:r w:rsidRPr="003F38BB">
        <w:t>Благодарности</w:t>
      </w:r>
      <w:r w:rsidRPr="003F38BB">
        <w:br/>
        <w:t>Предговор</w:t>
      </w:r>
      <w:r w:rsidRPr="003F38BB">
        <w:br/>
      </w:r>
      <w:r w:rsidRPr="003F38BB">
        <w:rPr>
          <w:b/>
          <w:bCs/>
        </w:rPr>
        <w:t>Проблемите и тяхната история</w:t>
      </w:r>
    </w:p>
    <w:p w14:paraId="4EA325B6" w14:textId="77777777" w:rsidR="003F38BB" w:rsidRPr="003F38BB" w:rsidRDefault="003F38BB" w:rsidP="003F38BB">
      <w:pPr>
        <w:numPr>
          <w:ilvl w:val="0"/>
          <w:numId w:val="1"/>
        </w:numPr>
      </w:pPr>
      <w:r w:rsidRPr="003F38BB">
        <w:t xml:space="preserve">Предмет на изследването и поставяне на проблемите. Концептуална и </w:t>
      </w:r>
      <w:proofErr w:type="spellStart"/>
      <w:r w:rsidRPr="003F38BB">
        <w:t>методологическа</w:t>
      </w:r>
      <w:proofErr w:type="spellEnd"/>
      <w:r w:rsidRPr="003F38BB">
        <w:t xml:space="preserve"> основа</w:t>
      </w:r>
    </w:p>
    <w:p w14:paraId="63EA97D9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Главен предмет на изследването</w:t>
      </w:r>
    </w:p>
    <w:p w14:paraId="39D04CC7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Допълнителен предмет на изследването</w:t>
      </w:r>
    </w:p>
    <w:p w14:paraId="071E4C2F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Въвеждане на термините и понятията</w:t>
      </w:r>
    </w:p>
    <w:p w14:paraId="305D4B0B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Прекратяване на дяловото участие в дружеството и осребряване на дружествения дял</w:t>
      </w:r>
    </w:p>
    <w:p w14:paraId="06149FAB" w14:textId="77777777" w:rsidR="003F38BB" w:rsidRPr="003F38BB" w:rsidRDefault="003F38BB" w:rsidP="003F38BB">
      <w:pPr>
        <w:numPr>
          <w:ilvl w:val="2"/>
          <w:numId w:val="1"/>
        </w:numPr>
      </w:pPr>
      <w:proofErr w:type="spellStart"/>
      <w:r w:rsidRPr="003F38BB">
        <w:t>Отграничаване</w:t>
      </w:r>
      <w:proofErr w:type="spellEnd"/>
      <w:r w:rsidRPr="003F38BB">
        <w:t xml:space="preserve"> на прекратяването на участието в дружеството (на осребряването на дружествения дял) от хипотезите на удовлетворяване на вземането за ликвидационен дял</w:t>
      </w:r>
    </w:p>
    <w:p w14:paraId="603E1F36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Поставяне на проблемите</w:t>
      </w:r>
    </w:p>
    <w:p w14:paraId="4A404E62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Теоретична и практическа значимост на изследването</w:t>
      </w:r>
    </w:p>
    <w:p w14:paraId="200BD16E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Формулиране на тезата на настоящата книга. Концептуална основа</w:t>
      </w:r>
    </w:p>
    <w:p w14:paraId="006E3BE9" w14:textId="77777777" w:rsidR="003F38BB" w:rsidRPr="003F38BB" w:rsidRDefault="003F38BB" w:rsidP="003F38BB">
      <w:pPr>
        <w:numPr>
          <w:ilvl w:val="1"/>
          <w:numId w:val="1"/>
        </w:numPr>
      </w:pPr>
      <w:proofErr w:type="spellStart"/>
      <w:r w:rsidRPr="003F38BB">
        <w:t>Методологически</w:t>
      </w:r>
      <w:proofErr w:type="spellEnd"/>
      <w:r w:rsidRPr="003F38BB">
        <w:t xml:space="preserve"> основи на изследването</w:t>
      </w:r>
    </w:p>
    <w:p w14:paraId="1FFD100B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Респект към буквата на закона</w:t>
      </w:r>
    </w:p>
    <w:p w14:paraId="4A5D4AE4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Изходно допускане за разумност, справедливост и ефективност на правната уредба</w:t>
      </w:r>
    </w:p>
    <w:p w14:paraId="780EEA73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 xml:space="preserve">Концептуална и </w:t>
      </w:r>
      <w:proofErr w:type="spellStart"/>
      <w:r w:rsidRPr="003F38BB">
        <w:t>правнологическа</w:t>
      </w:r>
      <w:proofErr w:type="spellEnd"/>
      <w:r w:rsidRPr="003F38BB">
        <w:t xml:space="preserve"> </w:t>
      </w:r>
      <w:proofErr w:type="spellStart"/>
      <w:r w:rsidRPr="003F38BB">
        <w:t>кохерентност</w:t>
      </w:r>
      <w:proofErr w:type="spellEnd"/>
    </w:p>
    <w:p w14:paraId="6F452939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Системен подход</w:t>
      </w:r>
    </w:p>
    <w:p w14:paraId="4B4B5BD4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Внимание към историята на правната уредба</w:t>
      </w:r>
    </w:p>
    <w:p w14:paraId="250EB20D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Ползване на достиженията на правната доктрина по ТЗ (отм.) и по ЗДОО (отм.)</w:t>
      </w:r>
    </w:p>
    <w:p w14:paraId="3FD174FD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Теория на избраните (организиращи) факти</w:t>
      </w:r>
    </w:p>
    <w:p w14:paraId="6181E6B3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Теория на инвариантите</w:t>
      </w:r>
    </w:p>
    <w:p w14:paraId="4F7C443B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Принцип на симетрия (</w:t>
      </w:r>
      <w:proofErr w:type="spellStart"/>
      <w:r w:rsidRPr="003F38BB">
        <w:t>огледалност</w:t>
      </w:r>
      <w:proofErr w:type="spellEnd"/>
      <w:r w:rsidRPr="003F38BB">
        <w:t>) на фактическите състави на ниво дружество, от една страна, и на ниво дружествен дял/</w:t>
      </w:r>
      <w:proofErr w:type="spellStart"/>
      <w:r w:rsidRPr="003F38BB">
        <w:t>членствено</w:t>
      </w:r>
      <w:proofErr w:type="spellEnd"/>
      <w:r w:rsidRPr="003F38BB">
        <w:t xml:space="preserve"> правоотношение, от друга</w:t>
      </w:r>
    </w:p>
    <w:p w14:paraId="6D527827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Водещо тълкувателно значение на съвременната концепция на ООД и на баланса на капиталови и персонални елементи в правната уредба</w:t>
      </w:r>
    </w:p>
    <w:p w14:paraId="0FD85F84" w14:textId="77777777" w:rsidR="003F38BB" w:rsidRPr="003F38BB" w:rsidRDefault="003F38BB" w:rsidP="003F38BB">
      <w:pPr>
        <w:numPr>
          <w:ilvl w:val="0"/>
          <w:numId w:val="1"/>
        </w:numPr>
      </w:pPr>
      <w:r w:rsidRPr="003F38BB">
        <w:t>Хибридната правна същност на ООД и силно персонализираният модел на Глава тринадесета от ТЗ</w:t>
      </w:r>
    </w:p>
    <w:p w14:paraId="7AD4FB6E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Изобретяването на ООД и неговата хибридна правна същност</w:t>
      </w:r>
    </w:p>
    <w:p w14:paraId="57BE98CE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lastRenderedPageBreak/>
        <w:t xml:space="preserve">Силно капиталовият модел на ЗДОО (отм.) и неговите </w:t>
      </w:r>
      <w:proofErr w:type="spellStart"/>
      <w:r w:rsidRPr="003F38BB">
        <w:t>правнополитически</w:t>
      </w:r>
      <w:proofErr w:type="spellEnd"/>
      <w:r w:rsidRPr="003F38BB">
        <w:t xml:space="preserve"> основания</w:t>
      </w:r>
    </w:p>
    <w:p w14:paraId="45F8FBC4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Силно персонализираният модел на Глава тринадесета от ТЗ и неговите основания</w:t>
      </w:r>
    </w:p>
    <w:p w14:paraId="7BDF5B60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Сравнение между ЗДОО (отм.) и ТЗ по линия на баланса между капиталови и персонални елементи в ООД</w:t>
      </w:r>
    </w:p>
    <w:p w14:paraId="42C17586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Значение на концептуалните различия между ЗДОО (отм.) и ТЗ за тълкуването на чл. 125, ал. 2 и 3 ТЗ и чл. 517, ал. 3 ГПК</w:t>
      </w:r>
    </w:p>
    <w:p w14:paraId="12C67511" w14:textId="77777777" w:rsidR="003F38BB" w:rsidRPr="003F38BB" w:rsidRDefault="003F38BB" w:rsidP="003F38BB">
      <w:pPr>
        <w:numPr>
          <w:ilvl w:val="1"/>
          <w:numId w:val="1"/>
        </w:numPr>
      </w:pPr>
      <w:proofErr w:type="spellStart"/>
      <w:r w:rsidRPr="003F38BB">
        <w:t>Правнологически</w:t>
      </w:r>
      <w:proofErr w:type="spellEnd"/>
      <w:r w:rsidRPr="003F38BB">
        <w:t xml:space="preserve"> последици от концептуалния модел на ООД за тълкуването на правната уредба</w:t>
      </w:r>
    </w:p>
    <w:p w14:paraId="6285C96B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Общият модел на ограничаване на ликвидността на дружествения дял</w:t>
      </w:r>
    </w:p>
    <w:p w14:paraId="418CE935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Изводи по темата на настоящата глава</w:t>
      </w:r>
    </w:p>
    <w:p w14:paraId="55DB8034" w14:textId="77777777" w:rsidR="003F38BB" w:rsidRPr="003F38BB" w:rsidRDefault="003F38BB" w:rsidP="003F38BB">
      <w:pPr>
        <w:numPr>
          <w:ilvl w:val="0"/>
          <w:numId w:val="1"/>
        </w:numPr>
      </w:pPr>
      <w:r w:rsidRPr="003F38BB">
        <w:t>Концептуалните модели на принудително изпълнение върху дружествени дялове. Историческо развитие на правната уредба</w:t>
      </w:r>
    </w:p>
    <w:p w14:paraId="60D21E95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Концептуалните проблеми пред принудителното изпълнение върху дружествени дялове, поставени от приемането на ТЗ</w:t>
      </w:r>
    </w:p>
    <w:p w14:paraId="77EC3635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Концептуални модели на принудителното изпълнение върху дружествени дялове от ООД</w:t>
      </w:r>
    </w:p>
    <w:p w14:paraId="3BE887AA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Принудителна продажба на дружествения дял</w:t>
      </w:r>
    </w:p>
    <w:p w14:paraId="62A95AB3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Класически модел на изпълнение върху парични вземания</w:t>
      </w:r>
    </w:p>
    <w:p w14:paraId="16096BFB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Модел, основан на принудителна трансформация на дружествения дял в ликвидационен дял (ликвидационен модел)</w:t>
      </w:r>
    </w:p>
    <w:p w14:paraId="028045B1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Хибриден модел, основан на съчетание между доброволно осребряване на дружествения дял по чл. 125, ал. 2 и 3 от ТЗ и принудителна ликвидация</w:t>
      </w:r>
    </w:p>
    <w:p w14:paraId="0DFE520C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Модел на изпълнението върху парични вземания - основан на прекратяване на членството и възникването на вземане на бившия съдружник длъжник по чл. 125, ал. 2 ТЗ</w:t>
      </w:r>
    </w:p>
    <w:p w14:paraId="709E596B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Първите стъпки на законодателя при уредбата на принудителното изпълнение върху дружествени дялове от ООД</w:t>
      </w:r>
    </w:p>
    <w:p w14:paraId="05D96485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Обобщение на историческото развитие на законодателството до 2002 година</w:t>
      </w:r>
    </w:p>
    <w:p w14:paraId="7FF20586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Кристализирането на модела на принудително изпълнение върху дружествени дялове през 2002 година</w:t>
      </w:r>
    </w:p>
    <w:p w14:paraId="02CAE343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Чл. 231, ал. 3 ДОПК и вирусът на правото на напускане на съдружник</w:t>
      </w:r>
    </w:p>
    <w:p w14:paraId="3C7D454D" w14:textId="77777777" w:rsidR="003F38BB" w:rsidRPr="003F38BB" w:rsidRDefault="003F38BB" w:rsidP="003F38BB">
      <w:pPr>
        <w:numPr>
          <w:ilvl w:val="1"/>
          <w:numId w:val="1"/>
        </w:numPr>
      </w:pPr>
      <w:proofErr w:type="spellStart"/>
      <w:r w:rsidRPr="003F38BB">
        <w:t>Правнологическата</w:t>
      </w:r>
      <w:proofErr w:type="spellEnd"/>
      <w:r w:rsidRPr="003F38BB">
        <w:t xml:space="preserve"> несъвместимост между осребряването на дружествения дял и вземането по чл. 125, ал. 3 ТЗ</w:t>
      </w:r>
    </w:p>
    <w:p w14:paraId="2CD86B26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Предварителни въпроси и по-нататъшен ход на изследването</w:t>
      </w:r>
    </w:p>
    <w:p w14:paraId="059368ED" w14:textId="77777777" w:rsidR="003F38BB" w:rsidRPr="003F38BB" w:rsidRDefault="003F38BB" w:rsidP="003F38BB">
      <w:pPr>
        <w:numPr>
          <w:ilvl w:val="0"/>
          <w:numId w:val="1"/>
        </w:numPr>
      </w:pPr>
      <w:r w:rsidRPr="003F38BB">
        <w:lastRenderedPageBreak/>
        <w:t>Тълкуването на чл. 125, ал. 2 ТЗ и чл. 517, ал. 3 ГПК в правната доктрина и в практиката на ВКС</w:t>
      </w:r>
    </w:p>
    <w:p w14:paraId="032CF097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Чл. 125, ал. 2 и ал. 3 ТЗ и чл. 517, ал. 3 ГПК (чл. 398б, ал. 3 от стария ГПК) през очите на патриарсите на съвременното търговско право и граждански процес</w:t>
      </w:r>
    </w:p>
    <w:p w14:paraId="6E1695F0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Алтернативни тълкувания на чл. 125, ал. 2 ТЗ в съвременната правна доктрина</w:t>
      </w:r>
    </w:p>
    <w:p w14:paraId="73830429" w14:textId="77777777" w:rsidR="003F38BB" w:rsidRPr="003F38BB" w:rsidRDefault="003F38BB" w:rsidP="003F38BB">
      <w:pPr>
        <w:numPr>
          <w:ilvl w:val="1"/>
          <w:numId w:val="1"/>
        </w:numPr>
      </w:pPr>
      <w:proofErr w:type="spellStart"/>
      <w:r w:rsidRPr="003F38BB">
        <w:t>Доктринерният</w:t>
      </w:r>
      <w:proofErr w:type="spellEnd"/>
      <w:r w:rsidRPr="003F38BB">
        <w:t xml:space="preserve"> преврат</w:t>
      </w:r>
    </w:p>
    <w:p w14:paraId="04437FED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Принципни слабости при тълкуването на чл. 125, ал. 2 и ал. 3 ТЗ и чл. 517, ал. 3 ГПК в съвременната доктрина</w:t>
      </w:r>
    </w:p>
    <w:p w14:paraId="2C8F5149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Каузалната практика на ВКС</w:t>
      </w:r>
    </w:p>
    <w:p w14:paraId="112E1B1D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 xml:space="preserve">Постановките на Тълкувателно решение </w:t>
      </w:r>
      <w:proofErr w:type="spellStart"/>
      <w:r w:rsidRPr="003F38BB">
        <w:t>No</w:t>
      </w:r>
      <w:proofErr w:type="spellEnd"/>
      <w:r w:rsidRPr="003F38BB">
        <w:t xml:space="preserve"> 1/31.05.2023 г. на ОСГТК на ВКС</w:t>
      </w:r>
    </w:p>
    <w:p w14:paraId="30D2E6DA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 xml:space="preserve">Предварителна критика на Тълкувателно решение </w:t>
      </w:r>
      <w:proofErr w:type="spellStart"/>
      <w:r w:rsidRPr="003F38BB">
        <w:t>No</w:t>
      </w:r>
      <w:proofErr w:type="spellEnd"/>
      <w:r w:rsidRPr="003F38BB">
        <w:t xml:space="preserve"> 1/31.05.2023 г. на ОСГТК на ВКС</w:t>
      </w:r>
    </w:p>
    <w:p w14:paraId="25EEFF55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 xml:space="preserve">Становището на Висшия адвокатски съвет по Тълкувателно дело </w:t>
      </w:r>
      <w:proofErr w:type="spellStart"/>
      <w:r w:rsidRPr="003F38BB">
        <w:t>No</w:t>
      </w:r>
      <w:proofErr w:type="spellEnd"/>
      <w:r w:rsidRPr="003F38BB">
        <w:t xml:space="preserve"> 1/2020 г. на ОСТК на ВКС</w:t>
      </w:r>
    </w:p>
    <w:p w14:paraId="5CC613F4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Критика на правната уредба по чл. 517, ал. 3 ГПК от страна на доктрината и практиката на ВКС</w:t>
      </w:r>
    </w:p>
    <w:p w14:paraId="35F85AB2" w14:textId="77777777" w:rsidR="003F38BB" w:rsidRPr="003F38BB" w:rsidRDefault="003F38BB" w:rsidP="003F38BB">
      <w:pPr>
        <w:numPr>
          <w:ilvl w:val="0"/>
          <w:numId w:val="1"/>
        </w:numPr>
      </w:pPr>
      <w:r w:rsidRPr="003F38BB">
        <w:t>Критика на утвърденото тълкуване на чл. 125, ал. 2 и 3 ТЗ и чл. 517, ал. 3 ГПК</w:t>
      </w:r>
    </w:p>
    <w:p w14:paraId="13BC3D74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Основания и предмет на настоящата глава</w:t>
      </w:r>
    </w:p>
    <w:p w14:paraId="378E3600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Погрешното игнориране на ограничената ликвидност на дружествения дял и неправилното ù заместване с безусловната ликвидност на вземането по чл. 125, ал. 3 ТЗ</w:t>
      </w:r>
    </w:p>
    <w:p w14:paraId="65BA73F1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Погрешното игнориране на дружествения дял като обект на уредената в чл. 517, ал. 3 ГПК процедура</w:t>
      </w:r>
    </w:p>
    <w:p w14:paraId="3CFECB81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 xml:space="preserve">Несъвместимост на тезите на Тълкувателно решение </w:t>
      </w:r>
      <w:proofErr w:type="spellStart"/>
      <w:r w:rsidRPr="003F38BB">
        <w:t>No</w:t>
      </w:r>
      <w:proofErr w:type="spellEnd"/>
      <w:r w:rsidRPr="003F38BB">
        <w:t xml:space="preserve"> 1/31.05.2023 г. на ОСГТК на ВКС с принципите на изпълнителния процес</w:t>
      </w:r>
    </w:p>
    <w:p w14:paraId="15D1DD5F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Вредните практически последици от възприетото от ОСТК на ВКС тълкуване на чл. 517, ал. 3 ГПК</w:t>
      </w:r>
    </w:p>
    <w:p w14:paraId="2F264042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Игнорирането на функционалната връзка между доброволното осребряване на дружествения дял и принудителната ликвидация</w:t>
      </w:r>
    </w:p>
    <w:p w14:paraId="697BE709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 xml:space="preserve">Практическата неприложимост на консеквенциите на Тълкувателно решение </w:t>
      </w:r>
      <w:proofErr w:type="spellStart"/>
      <w:r w:rsidRPr="003F38BB">
        <w:t>No</w:t>
      </w:r>
      <w:proofErr w:type="spellEnd"/>
      <w:r w:rsidRPr="003F38BB">
        <w:t xml:space="preserve"> 1/31.05.2023 г. на ОСГТК на ВКС</w:t>
      </w:r>
    </w:p>
    <w:p w14:paraId="515B33E9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Погрешното миниране на установения в чл. 517, ал. 3 ГПК ликвидационен модел</w:t>
      </w:r>
    </w:p>
    <w:p w14:paraId="32E36436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Вътрешната логика на балансовия тест по чл. 125, ал. 3 ТЗ</w:t>
      </w:r>
    </w:p>
    <w:p w14:paraId="58883B0A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Недостатъци на балансовия тест по чл. 125, ал. 3 ТЗ в хипотезите на принудително изпълнение върху дружествен дял</w:t>
      </w:r>
    </w:p>
    <w:p w14:paraId="7D4DDD26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lastRenderedPageBreak/>
        <w:t>Буквата на чл. 517, ал. 3 ГПК и вземането по чл. 125, ал. 3 ТЗ</w:t>
      </w:r>
    </w:p>
    <w:p w14:paraId="2F29F7F0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Привидната езикова опора на възприетото от ВКС тълкуване на чл. 517, ал. 3 ГПК</w:t>
      </w:r>
    </w:p>
    <w:p w14:paraId="781972D9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Изявлението на взискателя за прекратяване участието на длъжника в дружеството</w:t>
      </w:r>
    </w:p>
    <w:p w14:paraId="0357E5AC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Систематически анализ на чл. 517, ал. 3 във връзка с чл. 517, ал. 2 ГПК</w:t>
      </w:r>
    </w:p>
    <w:p w14:paraId="5E12AE41" w14:textId="77777777" w:rsidR="003F38BB" w:rsidRPr="003F38BB" w:rsidRDefault="003F38BB" w:rsidP="003F38BB">
      <w:pPr>
        <w:numPr>
          <w:ilvl w:val="2"/>
          <w:numId w:val="1"/>
        </w:numPr>
      </w:pPr>
      <w:r w:rsidRPr="003F38BB">
        <w:t>Систематически анализ на чл. 517, ал. 3 във връзка с чл. 517, ал. 4 ГПК</w:t>
      </w:r>
    </w:p>
    <w:p w14:paraId="0DB3EB5A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Припадащата се на съдружника длъжник част от имуществото, определена съгласно чл. 125, ал. 3 от Търговския закон</w:t>
      </w:r>
    </w:p>
    <w:p w14:paraId="4A589936" w14:textId="77777777" w:rsidR="003F38BB" w:rsidRPr="003F38BB" w:rsidRDefault="003F38BB" w:rsidP="003F38BB">
      <w:pPr>
        <w:numPr>
          <w:ilvl w:val="1"/>
          <w:numId w:val="1"/>
        </w:numPr>
      </w:pPr>
      <w:r w:rsidRPr="003F38BB">
        <w:t>Изводи по темата на настоящата глава</w:t>
      </w:r>
    </w:p>
    <w:p w14:paraId="43FA8B54" w14:textId="77777777" w:rsidR="003F38BB" w:rsidRPr="003F38BB" w:rsidRDefault="003F38BB" w:rsidP="003F38BB">
      <w:r w:rsidRPr="003F38BB">
        <w:rPr>
          <w:b/>
          <w:bCs/>
        </w:rPr>
        <w:t>Прекратяване на участието в дружеството и осребряване на дружествения дял от ООД</w:t>
      </w:r>
    </w:p>
    <w:p w14:paraId="7DBFDFC4" w14:textId="77777777" w:rsidR="003F38BB" w:rsidRPr="003F38BB" w:rsidRDefault="003F38BB" w:rsidP="003F38BB">
      <w:pPr>
        <w:numPr>
          <w:ilvl w:val="0"/>
          <w:numId w:val="2"/>
        </w:numPr>
      </w:pPr>
      <w:r w:rsidRPr="003F38BB">
        <w:t>Дружественият дял от ООД като обект на правото. Съотношение с членството</w:t>
      </w:r>
    </w:p>
    <w:p w14:paraId="44F862A1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Поставяне на проблемите</w:t>
      </w:r>
    </w:p>
    <w:p w14:paraId="07ECA138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 xml:space="preserve">Езиковите и </w:t>
      </w:r>
      <w:proofErr w:type="spellStart"/>
      <w:r w:rsidRPr="003F38BB">
        <w:t>феноменологичните</w:t>
      </w:r>
      <w:proofErr w:type="spellEnd"/>
      <w:r w:rsidRPr="003F38BB">
        <w:t xml:space="preserve"> корени на смесването на дружествения дял с членството</w:t>
      </w:r>
    </w:p>
    <w:p w14:paraId="1BF195F2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Капиталовият (имуществен) смисъл на термина прекратяване на участието в дружеството</w:t>
      </w:r>
    </w:p>
    <w:p w14:paraId="1E122C06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Дружественият дял според правната доктрина</w:t>
      </w:r>
    </w:p>
    <w:p w14:paraId="3A2FA41E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 xml:space="preserve">Критика на идентифицирането на дружествения дял с </w:t>
      </w:r>
      <w:proofErr w:type="spellStart"/>
      <w:r w:rsidRPr="003F38BB">
        <w:t>членственото</w:t>
      </w:r>
      <w:proofErr w:type="spellEnd"/>
      <w:r w:rsidRPr="003F38BB">
        <w:t xml:space="preserve"> правоотношение</w:t>
      </w:r>
    </w:p>
    <w:p w14:paraId="50B7E6BE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Дружественият дял като обект на правото в хипотезите по чл. 517, ал. 3 ГПК</w:t>
      </w:r>
    </w:p>
    <w:p w14:paraId="3A1BEAAE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 xml:space="preserve">Сложният фактически състав на придобиване на дружествен дял от </w:t>
      </w:r>
      <w:proofErr w:type="spellStart"/>
      <w:r w:rsidRPr="003F38BB">
        <w:t>несъдружник</w:t>
      </w:r>
      <w:proofErr w:type="spellEnd"/>
      <w:r w:rsidRPr="003F38BB">
        <w:t xml:space="preserve"> и неговите два сегмента</w:t>
      </w:r>
    </w:p>
    <w:p w14:paraId="5C06DF04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Вредните последици от смесването на дружествения дял с членството</w:t>
      </w:r>
    </w:p>
    <w:p w14:paraId="0EA67313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Исторически причини за смесването между дружествения дял и членството</w:t>
      </w:r>
    </w:p>
    <w:p w14:paraId="2299527B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Дружественият дял по смисъла на чл. 127 и чл. 129 ТЗ</w:t>
      </w:r>
    </w:p>
    <w:p w14:paraId="6EFE0376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Дружественият дял като право да бъде получена квота от чистото имущество на дружеството</w:t>
      </w:r>
    </w:p>
    <w:p w14:paraId="21D7AA59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Дефиниране на понятието дружествен дял</w:t>
      </w:r>
    </w:p>
    <w:p w14:paraId="69AEE222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Смисълът на уредения в чл. 125, ал. 2 и 3 ТЗ институт в контекста на понятието за дружествен дял</w:t>
      </w:r>
    </w:p>
    <w:p w14:paraId="75262F54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Дял на неограничено отговорен съдружник по смисъла на чл. 517, ал. 2 ГПК и дружествен дял по смисъла на чл. 127 ТЗ</w:t>
      </w:r>
    </w:p>
    <w:p w14:paraId="54F2A8D1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Разграничение между дружествения дял и вземането по чл. 125, ал. 3 ТЗ</w:t>
      </w:r>
    </w:p>
    <w:p w14:paraId="7C434B24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Разграничение между прекратяване и погасяване на дружествения дял</w:t>
      </w:r>
    </w:p>
    <w:p w14:paraId="3CA68F87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lastRenderedPageBreak/>
        <w:t xml:space="preserve">Генетична и функционална връзка между дружествения дял и </w:t>
      </w:r>
      <w:proofErr w:type="spellStart"/>
      <w:r w:rsidRPr="003F38BB">
        <w:t>членственото</w:t>
      </w:r>
      <w:proofErr w:type="spellEnd"/>
      <w:r w:rsidRPr="003F38BB">
        <w:t xml:space="preserve"> правоотношение</w:t>
      </w:r>
    </w:p>
    <w:p w14:paraId="5CDCF3CD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Изводи по темата на настоящата глава</w:t>
      </w:r>
    </w:p>
    <w:p w14:paraId="2381DD6F" w14:textId="77777777" w:rsidR="003F38BB" w:rsidRPr="003F38BB" w:rsidRDefault="003F38BB" w:rsidP="003F38BB">
      <w:pPr>
        <w:numPr>
          <w:ilvl w:val="0"/>
          <w:numId w:val="2"/>
        </w:numPr>
      </w:pPr>
      <w:r w:rsidRPr="003F38BB">
        <w:t>Прекратяване на участието в дружеството и неговите правни последици</w:t>
      </w:r>
    </w:p>
    <w:p w14:paraId="4818BC9F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Увод в темата на настоящата глава</w:t>
      </w:r>
    </w:p>
    <w:p w14:paraId="7808FCAB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Причини за тълкувателните затруднения при осмислянето на чл. 125, ал. 2 и 3 ТЗ и чл. 517, ал. 3 ГПК и пътища за преодоляването им</w:t>
      </w:r>
    </w:p>
    <w:p w14:paraId="0BD23551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Обобщаване на избраните факти, позволяващи да бъде разбран смисълът на чл. 125, ал. 2 и 3 ТЗ и чл. 517, ал. 3 ТЗ</w:t>
      </w:r>
    </w:p>
    <w:p w14:paraId="1A542E62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Концептуална основа за извеждането на смисъла на чл. 125, ал. 2 ТЗ</w:t>
      </w:r>
    </w:p>
    <w:p w14:paraId="2A8423CB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Концептуален модел на чл. 125, ал. 2 и 3 ТЗ</w:t>
      </w:r>
    </w:p>
    <w:p w14:paraId="2A5DF372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Предимства на предложения тълкувателен модел</w:t>
      </w:r>
    </w:p>
    <w:p w14:paraId="715127F0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Прекратяване на участието в дружеството по смисъла на чл. 125, ал. 2 ТЗ и чл. 517, ал. 3, изр. първо ГПК. Фактически състави</w:t>
      </w:r>
    </w:p>
    <w:p w14:paraId="517625FC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Последици в хипотезите на липса на припадаща се на дружествения дял нетна стойност на активите</w:t>
      </w:r>
    </w:p>
    <w:p w14:paraId="3C9C21DE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Ограничение на прекратяването на участието по чл. 125, ал. 2 ТЗ от правото на напускане</w:t>
      </w:r>
    </w:p>
    <w:p w14:paraId="4CCC1C03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Правно значение на волята на дружеството за осребряването на дружествения дял</w:t>
      </w:r>
    </w:p>
    <w:p w14:paraId="4D5B7B2D" w14:textId="77777777" w:rsidR="003F38BB" w:rsidRPr="003F38BB" w:rsidRDefault="003F38BB" w:rsidP="003F38BB">
      <w:pPr>
        <w:numPr>
          <w:ilvl w:val="2"/>
          <w:numId w:val="2"/>
        </w:numPr>
      </w:pPr>
      <w:proofErr w:type="spellStart"/>
      <w:r w:rsidRPr="003F38BB">
        <w:t>Релевантност</w:t>
      </w:r>
      <w:proofErr w:type="spellEnd"/>
      <w:r w:rsidRPr="003F38BB">
        <w:t xml:space="preserve"> на волята на дружеството от гледище на същността на търговското дружество</w:t>
      </w:r>
    </w:p>
    <w:p w14:paraId="49915041" w14:textId="77777777" w:rsidR="003F38BB" w:rsidRPr="003F38BB" w:rsidRDefault="003F38BB" w:rsidP="003F38BB">
      <w:pPr>
        <w:numPr>
          <w:ilvl w:val="2"/>
          <w:numId w:val="2"/>
        </w:numPr>
      </w:pPr>
      <w:proofErr w:type="spellStart"/>
      <w:r w:rsidRPr="003F38BB">
        <w:t>Релевантност</w:t>
      </w:r>
      <w:proofErr w:type="spellEnd"/>
      <w:r w:rsidRPr="003F38BB">
        <w:t xml:space="preserve"> на волята на дружеството от гледище на тримесечния срок по чл. 125, ал. 2 ТЗ и чл. 517, ал. 3, изр. второ ГПК</w:t>
      </w:r>
    </w:p>
    <w:p w14:paraId="66C09E75" w14:textId="77777777" w:rsidR="003F38BB" w:rsidRPr="003F38BB" w:rsidRDefault="003F38BB" w:rsidP="003F38BB">
      <w:pPr>
        <w:numPr>
          <w:ilvl w:val="2"/>
          <w:numId w:val="2"/>
        </w:numPr>
      </w:pPr>
      <w:proofErr w:type="spellStart"/>
      <w:r w:rsidRPr="003F38BB">
        <w:t>Релевантност</w:t>
      </w:r>
      <w:proofErr w:type="spellEnd"/>
      <w:r w:rsidRPr="003F38BB">
        <w:t xml:space="preserve"> на волята на дружеството от гледище на капиталовата същност на ООД и закрилата на капитала</w:t>
      </w:r>
    </w:p>
    <w:p w14:paraId="068BEE56" w14:textId="77777777" w:rsidR="003F38BB" w:rsidRPr="003F38BB" w:rsidRDefault="003F38BB" w:rsidP="003F38BB">
      <w:pPr>
        <w:numPr>
          <w:ilvl w:val="2"/>
          <w:numId w:val="2"/>
        </w:numPr>
      </w:pPr>
      <w:proofErr w:type="spellStart"/>
      <w:r w:rsidRPr="003F38BB">
        <w:t>Релевантност</w:t>
      </w:r>
      <w:proofErr w:type="spellEnd"/>
      <w:r w:rsidRPr="003F38BB">
        <w:t xml:space="preserve"> на волята на дружеството от гледище на персоналните елементи в ООД и неговия затворен характер</w:t>
      </w:r>
    </w:p>
    <w:p w14:paraId="41430813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Прекратяване на участието в дружеството и прекратяване на членството</w:t>
      </w:r>
    </w:p>
    <w:p w14:paraId="43998889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Системата на чл. 125 ТЗ</w:t>
      </w:r>
    </w:p>
    <w:p w14:paraId="7417BC1E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Уреждането на имуществените последици по чл. 125, ал. 3 ТЗ като форма на осребряването на дружествения дял</w:t>
      </w:r>
    </w:p>
    <w:p w14:paraId="4D98CE9F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Сравнителен анализ на правното положение на персоналния съдружник и съдружника в ООД по линия на правото на напускане</w:t>
      </w:r>
    </w:p>
    <w:p w14:paraId="7A3B902F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Капиталова същност на прекратяването на участието в дружеството в хипотезата на чл. 125, ал. 2 ТЗ</w:t>
      </w:r>
    </w:p>
    <w:p w14:paraId="5A1766E4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lastRenderedPageBreak/>
        <w:t>Правно положение на прекратилия участието си съдружник до момента на осребряване на дружествения му дял</w:t>
      </w:r>
    </w:p>
    <w:p w14:paraId="4ED31092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Осребряване на дружествения дял в хипотезите по чл. 125, ал. 2 и 3 ТЗ и чл. 517, ал. 3, изр. трето ГПК</w:t>
      </w:r>
    </w:p>
    <w:p w14:paraId="122F7F6B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Изводи по темата на настоящата глава</w:t>
      </w:r>
    </w:p>
    <w:p w14:paraId="4337DF32" w14:textId="77777777" w:rsidR="003F38BB" w:rsidRPr="003F38BB" w:rsidRDefault="003F38BB" w:rsidP="003F38BB">
      <w:pPr>
        <w:numPr>
          <w:ilvl w:val="0"/>
          <w:numId w:val="2"/>
        </w:numPr>
      </w:pPr>
      <w:r w:rsidRPr="003F38BB">
        <w:t>Закрилата на капитала и нейното значение за осребряването на дружествения дял</w:t>
      </w:r>
    </w:p>
    <w:p w14:paraId="517A6B43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Увод в темата на настоящата глава</w:t>
      </w:r>
    </w:p>
    <w:p w14:paraId="6071CAF8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Аргументите на проф. Григор Григоров</w:t>
      </w:r>
    </w:p>
    <w:p w14:paraId="08847FF0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Предварително съпоставяне на тезите</w:t>
      </w:r>
    </w:p>
    <w:p w14:paraId="5E2CC69E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Риск от намаляване на покритието на капитала, а не намаляване на капитала по право</w:t>
      </w:r>
    </w:p>
    <w:p w14:paraId="76CC9095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Защитата на капитала в хипотезите по чл. 121, ал. 2 ТЗ</w:t>
      </w:r>
    </w:p>
    <w:p w14:paraId="20D3A7A1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Съотношение между чл. 125, ал. 2 и 3 и чл. 133 ТЗ</w:t>
      </w:r>
    </w:p>
    <w:p w14:paraId="72D29CEF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Съотношение между разпоредбите на чл. 125, ал. 2 и чл. 149, ал. 3, т. 2 ТЗ</w:t>
      </w:r>
    </w:p>
    <w:p w14:paraId="14DB67AD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Изводи по темата на настоящата глава</w:t>
      </w:r>
    </w:p>
    <w:p w14:paraId="40250C39" w14:textId="77777777" w:rsidR="003F38BB" w:rsidRPr="003F38BB" w:rsidRDefault="003F38BB" w:rsidP="003F38BB">
      <w:pPr>
        <w:numPr>
          <w:ilvl w:val="0"/>
          <w:numId w:val="2"/>
        </w:numPr>
      </w:pPr>
      <w:r w:rsidRPr="003F38BB">
        <w:t>Принудително изпълнение върху дружествени дялове от ООД в хипотезата по чл. 517, ал. 3 ГПК</w:t>
      </w:r>
    </w:p>
    <w:p w14:paraId="6852BF45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Увод в темата на настоящата глава</w:t>
      </w:r>
    </w:p>
    <w:p w14:paraId="4980AEBB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Причини за тълкувателните затруднения при осмислянето на чл. 517, ал. 3 ГПК</w:t>
      </w:r>
    </w:p>
    <w:p w14:paraId="68BC0EA7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Обект на принудителното изпълнение в системата на чл. 517, ал. 3 ГПК</w:t>
      </w:r>
    </w:p>
    <w:p w14:paraId="118B0AE4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Трансформационният модел на чл. 517 ГПК</w:t>
      </w:r>
    </w:p>
    <w:p w14:paraId="1E2D87B9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Защитни последици на запора върху дружествен дял</w:t>
      </w:r>
    </w:p>
    <w:p w14:paraId="53BC9534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Правни последици на изтичането на тримесечния срок по чл. 517, ал. 3, изр. второ ГПК</w:t>
      </w:r>
    </w:p>
    <w:p w14:paraId="04B4D34C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Последици на счетоводния баланс по чл. 125, ал. 3 ТЗ</w:t>
      </w:r>
    </w:p>
    <w:p w14:paraId="281AB133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Последици на откриването на ликвидационното производство на плоскостта на дружествения дял</w:t>
      </w:r>
    </w:p>
    <w:p w14:paraId="230CB9E9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Последици при формирането на ликвидационен дял на длъжника</w:t>
      </w:r>
    </w:p>
    <w:p w14:paraId="3A44E4F4" w14:textId="77777777" w:rsidR="003F38BB" w:rsidRPr="003F38BB" w:rsidRDefault="003F38BB" w:rsidP="003F38BB">
      <w:pPr>
        <w:numPr>
          <w:ilvl w:val="1"/>
          <w:numId w:val="2"/>
        </w:numPr>
      </w:pPr>
      <w:r w:rsidRPr="003F38BB">
        <w:t>Изводи по темата на настоящата глава</w:t>
      </w:r>
    </w:p>
    <w:p w14:paraId="00103F29" w14:textId="77777777" w:rsidR="003F38BB" w:rsidRPr="003F38BB" w:rsidRDefault="003F38BB" w:rsidP="003F38BB">
      <w:r w:rsidRPr="003F38BB">
        <w:rPr>
          <w:b/>
          <w:bCs/>
        </w:rPr>
        <w:t>Прекратяване на членството в хипотезите по чл. 125 и чл. 126 ТЗ</w:t>
      </w:r>
    </w:p>
    <w:p w14:paraId="0A53A532" w14:textId="77777777" w:rsidR="003F38BB" w:rsidRPr="003F38BB" w:rsidRDefault="003F38BB" w:rsidP="003F38BB">
      <w:pPr>
        <w:numPr>
          <w:ilvl w:val="0"/>
          <w:numId w:val="3"/>
        </w:numPr>
      </w:pPr>
      <w:r w:rsidRPr="003F38BB">
        <w:t>Фактически състави на прекратяване на членството в хипотезите по чл. 125, ал. 2 ТЗ и чл. 517, ал. 3 ГПК</w:t>
      </w:r>
    </w:p>
    <w:p w14:paraId="45F52377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Увод в темата на настоящата глава</w:t>
      </w:r>
    </w:p>
    <w:p w14:paraId="685E6B7B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lastRenderedPageBreak/>
        <w:t>Тълкувателен модел, според който членството в хипотезите по чл. 125, ал. 2 ТЗ и чл. 517, ал. 3 ГПК се прекратява автоматично, по силата на волеизявлението на съдружника или на взискателя</w:t>
      </w:r>
    </w:p>
    <w:p w14:paraId="094E40DA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Концептуална основа на прекратяването на членството в хипотезите по чл. 125, ал. 1 ТЗ</w:t>
      </w:r>
    </w:p>
    <w:p w14:paraId="1A1AA5A4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Различният концептуален модел на прекратяване на членството в хипотезите по чл. 125, ал. 2 и 3</w:t>
      </w:r>
    </w:p>
    <w:p w14:paraId="0B515222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Съотношение между института на прекратяване на участието в дружеството и прекратяването на членството</w:t>
      </w:r>
    </w:p>
    <w:p w14:paraId="49C895C1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Фактически състав на прекратяване на членството в хипотезите по чл. 125, ал. 2 и 3 ТЗ</w:t>
      </w:r>
    </w:p>
    <w:p w14:paraId="2F25D7D1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Прекратяване на членството в хипотезите по чл. 517, ал. 3, изр. трето ГПК</w:t>
      </w:r>
    </w:p>
    <w:p w14:paraId="59D54A6F" w14:textId="77777777" w:rsidR="003F38BB" w:rsidRPr="003F38BB" w:rsidRDefault="003F38BB" w:rsidP="003F38BB">
      <w:pPr>
        <w:numPr>
          <w:ilvl w:val="2"/>
          <w:numId w:val="3"/>
        </w:numPr>
      </w:pPr>
      <w:r w:rsidRPr="003F38BB">
        <w:t>Дружеството изплаща на взискателя пълната стойност на дружествения дял, определена съгласно чл. 125, ал. 3 ТЗ</w:t>
      </w:r>
    </w:p>
    <w:p w14:paraId="66957889" w14:textId="77777777" w:rsidR="003F38BB" w:rsidRPr="003F38BB" w:rsidRDefault="003F38BB" w:rsidP="003F38BB">
      <w:pPr>
        <w:numPr>
          <w:ilvl w:val="2"/>
          <w:numId w:val="3"/>
        </w:numPr>
      </w:pPr>
      <w:r w:rsidRPr="003F38BB">
        <w:t>Дружеството изплаща на взискателя и на длъжника пълната стойност на дружествения дял, определена съгласно чл. 125, ал. 3 ТЗ</w:t>
      </w:r>
    </w:p>
    <w:p w14:paraId="0F3E1569" w14:textId="77777777" w:rsidR="003F38BB" w:rsidRPr="003F38BB" w:rsidRDefault="003F38BB" w:rsidP="003F38BB">
      <w:pPr>
        <w:numPr>
          <w:ilvl w:val="2"/>
          <w:numId w:val="3"/>
        </w:numPr>
      </w:pPr>
      <w:r w:rsidRPr="003F38BB">
        <w:t xml:space="preserve">Дружеството погасява цялото </w:t>
      </w:r>
      <w:proofErr w:type="spellStart"/>
      <w:r w:rsidRPr="003F38BB">
        <w:t>изпълняемо</w:t>
      </w:r>
      <w:proofErr w:type="spellEnd"/>
      <w:r w:rsidRPr="003F38BB">
        <w:t xml:space="preserve"> вземане на взискателя, но без да осребрява дружествения дял</w:t>
      </w:r>
    </w:p>
    <w:p w14:paraId="5BC8175D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Прекратяване на членството в ликвидационните хипотези по чл. 517, ал. 3 ГПК</w:t>
      </w:r>
    </w:p>
    <w:p w14:paraId="263529CC" w14:textId="77777777" w:rsidR="003F38BB" w:rsidRPr="003F38BB" w:rsidRDefault="003F38BB" w:rsidP="003F38BB">
      <w:pPr>
        <w:numPr>
          <w:ilvl w:val="1"/>
          <w:numId w:val="3"/>
        </w:numPr>
      </w:pPr>
      <w:proofErr w:type="spellStart"/>
      <w:r w:rsidRPr="003F38BB">
        <w:t>Регистърни</w:t>
      </w:r>
      <w:proofErr w:type="spellEnd"/>
      <w:r w:rsidRPr="003F38BB">
        <w:t xml:space="preserve"> последици от прекратяването на членството в хипотезите по чл. 125, ал. 2 и 3 ТЗ и чл. 517, ал. 3, изр. трето ГПК</w:t>
      </w:r>
    </w:p>
    <w:p w14:paraId="609136DF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Крайни изводи по темата на настоящата глава</w:t>
      </w:r>
    </w:p>
    <w:p w14:paraId="3DF2F8F4" w14:textId="77777777" w:rsidR="003F38BB" w:rsidRPr="003F38BB" w:rsidRDefault="003F38BB" w:rsidP="003F38BB">
      <w:pPr>
        <w:numPr>
          <w:ilvl w:val="0"/>
          <w:numId w:val="3"/>
        </w:numPr>
      </w:pPr>
      <w:r w:rsidRPr="003F38BB">
        <w:t>Вписването по чл. 140, ал. 4 ТЗ като елемент от фактическите състави на изключване на съдружник</w:t>
      </w:r>
    </w:p>
    <w:p w14:paraId="2D4590B8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Причини за включването на настоящата глава в книгата</w:t>
      </w:r>
    </w:p>
    <w:p w14:paraId="60CDA1C8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Понятието подлежащи на вписване обстоятелства според класическия труд на проф. Живко Сталев</w:t>
      </w:r>
    </w:p>
    <w:p w14:paraId="4BC465AC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Понятието </w:t>
      </w:r>
      <w:proofErr w:type="spellStart"/>
      <w:r w:rsidRPr="003F38BB">
        <w:t>конститутивно</w:t>
      </w:r>
      <w:proofErr w:type="spellEnd"/>
      <w:r w:rsidRPr="003F38BB">
        <w:t xml:space="preserve"> вписване</w:t>
      </w:r>
    </w:p>
    <w:p w14:paraId="487D6687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Понятието </w:t>
      </w:r>
      <w:proofErr w:type="spellStart"/>
      <w:r w:rsidRPr="003F38BB">
        <w:t>оповестително</w:t>
      </w:r>
      <w:proofErr w:type="spellEnd"/>
      <w:r w:rsidRPr="003F38BB">
        <w:t xml:space="preserve"> вписване</w:t>
      </w:r>
    </w:p>
    <w:p w14:paraId="0DD32A3A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Тълкуването на чл. 140, ал. 4 ТЗ в по-старата практика на ВКС</w:t>
      </w:r>
    </w:p>
    <w:p w14:paraId="7907BD19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Промяната в практиката на ВКС по тълкуването на чл. 140, ал. 4 ТЗ</w:t>
      </w:r>
    </w:p>
    <w:p w14:paraId="38EE539B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Касационният преврат в материята на </w:t>
      </w:r>
      <w:proofErr w:type="spellStart"/>
      <w:r w:rsidRPr="003F38BB">
        <w:t>конститутивните</w:t>
      </w:r>
      <w:proofErr w:type="spellEnd"/>
      <w:r w:rsidRPr="003F38BB">
        <w:t xml:space="preserve"> вписвания по чл. 140, ал. 3 и ал. 4 ТЗ</w:t>
      </w:r>
    </w:p>
    <w:p w14:paraId="2A0A2DF6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Предварителна критика на каноните по т. 7.1 от мотивите на Тълкувателно решение </w:t>
      </w:r>
      <w:proofErr w:type="spellStart"/>
      <w:r w:rsidRPr="003F38BB">
        <w:t>No</w:t>
      </w:r>
      <w:proofErr w:type="spellEnd"/>
      <w:r w:rsidRPr="003F38BB">
        <w:t xml:space="preserve"> 1/31.05.2023 г. на ОСГТК на ВКС</w:t>
      </w:r>
    </w:p>
    <w:p w14:paraId="6392093C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lastRenderedPageBreak/>
        <w:t xml:space="preserve">Различията между хипотезите на изключване и на приемането на нов съдружник в контекста на т. 7.1. от мотивите на Тълкувателно решение </w:t>
      </w:r>
      <w:proofErr w:type="spellStart"/>
      <w:r w:rsidRPr="003F38BB">
        <w:t>No</w:t>
      </w:r>
      <w:proofErr w:type="spellEnd"/>
      <w:r w:rsidRPr="003F38BB">
        <w:t xml:space="preserve"> 1/31.05.2023 г. на ОСГТК на ВКС</w:t>
      </w:r>
    </w:p>
    <w:p w14:paraId="74793EF3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Несправедливите практически резултати от тезата на т. 2 и т. 7.1. от мотивите към Тълкувателно решение </w:t>
      </w:r>
      <w:proofErr w:type="spellStart"/>
      <w:r w:rsidRPr="003F38BB">
        <w:t>No</w:t>
      </w:r>
      <w:proofErr w:type="spellEnd"/>
      <w:r w:rsidRPr="003F38BB">
        <w:t xml:space="preserve"> 1/31.05.2023 г. на ОСГТК на ВКС</w:t>
      </w:r>
    </w:p>
    <w:p w14:paraId="6A70EFA7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Критика, основана на буквалното тълкуване на чл. 140, ал. 4 от ТЗ</w:t>
      </w:r>
    </w:p>
    <w:p w14:paraId="09A6D1C8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Критика, основана на систематическата и логическа връзка между чл. 140, ал. 3 и ал. 4 от ТЗ</w:t>
      </w:r>
    </w:p>
    <w:p w14:paraId="5FCA9FA6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Критика, основана на института на спиране на </w:t>
      </w:r>
      <w:proofErr w:type="spellStart"/>
      <w:r w:rsidRPr="003F38BB">
        <w:t>регистърното</w:t>
      </w:r>
      <w:proofErr w:type="spellEnd"/>
      <w:r w:rsidRPr="003F38BB">
        <w:t xml:space="preserve"> производство (чл. 19, ал. 6 от ЗТРРЮЛНЦ)</w:t>
      </w:r>
    </w:p>
    <w:p w14:paraId="7B5B93C5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Критика, основана на вътрешното противоречие в тезите на мотивите към т. 2 от Тълкувателно решение </w:t>
      </w:r>
      <w:proofErr w:type="spellStart"/>
      <w:r w:rsidRPr="003F38BB">
        <w:t>No</w:t>
      </w:r>
      <w:proofErr w:type="spellEnd"/>
      <w:r w:rsidRPr="003F38BB">
        <w:t xml:space="preserve"> 1/31.05.2023 г. на ОСГТК на ВКС</w:t>
      </w:r>
    </w:p>
    <w:p w14:paraId="0340DF10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Конституционни аргументи</w:t>
      </w:r>
    </w:p>
    <w:p w14:paraId="6ABA0AE7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Допълнителна аргументация</w:t>
      </w:r>
    </w:p>
    <w:p w14:paraId="7E41328F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Изводи относно правното качество на т. 2 и т. 7.1. от мотивите на Тълкувателно решение </w:t>
      </w:r>
      <w:proofErr w:type="spellStart"/>
      <w:r w:rsidRPr="003F38BB">
        <w:t>No</w:t>
      </w:r>
      <w:proofErr w:type="spellEnd"/>
      <w:r w:rsidRPr="003F38BB">
        <w:t xml:space="preserve"> 1/31.05.2023 г. на ОСГТК на ВКС</w:t>
      </w:r>
    </w:p>
    <w:p w14:paraId="263D8559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Фактически състав и момент на прекратяването на членството в хипотезите на изключване на съдружник. </w:t>
      </w:r>
      <w:proofErr w:type="spellStart"/>
      <w:r w:rsidRPr="003F38BB">
        <w:t>Регистърни</w:t>
      </w:r>
      <w:proofErr w:type="spellEnd"/>
      <w:r w:rsidRPr="003F38BB">
        <w:t xml:space="preserve"> последици</w:t>
      </w:r>
    </w:p>
    <w:p w14:paraId="2131624E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Предмет ли е на </w:t>
      </w:r>
      <w:proofErr w:type="spellStart"/>
      <w:r w:rsidRPr="003F38BB">
        <w:t>регистърната</w:t>
      </w:r>
      <w:proofErr w:type="spellEnd"/>
      <w:r w:rsidRPr="003F38BB">
        <w:t xml:space="preserve"> проверка при вписване на изключване по чл. 126, ал. 3 ТЗ уреждането на имуществените последици по чл. 125, ал. 3 ТЗ</w:t>
      </w:r>
    </w:p>
    <w:p w14:paraId="7E94FBEF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Генетична и функционална връзка между </w:t>
      </w:r>
      <w:proofErr w:type="spellStart"/>
      <w:r w:rsidRPr="003F38BB">
        <w:t>конститутивните</w:t>
      </w:r>
      <w:proofErr w:type="spellEnd"/>
      <w:r w:rsidRPr="003F38BB">
        <w:t xml:space="preserve"> вписвания по чл. 140, ал. 3 и ал. 4 ТЗ</w:t>
      </w:r>
    </w:p>
    <w:p w14:paraId="34920978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 xml:space="preserve">Исторически и </w:t>
      </w:r>
      <w:proofErr w:type="spellStart"/>
      <w:r w:rsidRPr="003F38BB">
        <w:t>правнополитически</w:t>
      </w:r>
      <w:proofErr w:type="spellEnd"/>
      <w:r w:rsidRPr="003F38BB">
        <w:t xml:space="preserve"> причини, поради които чл. 140, ал. 4 ТЗ урежда приемането на нов съдружник и изключването на съдружник като предмет на </w:t>
      </w:r>
      <w:proofErr w:type="spellStart"/>
      <w:r w:rsidRPr="003F38BB">
        <w:t>конститутивно</w:t>
      </w:r>
      <w:proofErr w:type="spellEnd"/>
      <w:r w:rsidRPr="003F38BB">
        <w:t xml:space="preserve"> вписване</w:t>
      </w:r>
    </w:p>
    <w:p w14:paraId="61820DFE" w14:textId="77777777" w:rsidR="003F38BB" w:rsidRPr="003F38BB" w:rsidRDefault="003F38BB" w:rsidP="003F38BB">
      <w:pPr>
        <w:numPr>
          <w:ilvl w:val="1"/>
          <w:numId w:val="3"/>
        </w:numPr>
      </w:pPr>
      <w:r w:rsidRPr="003F38BB">
        <w:t>Обобщение на изводите по настоящата глава</w:t>
      </w:r>
    </w:p>
    <w:p w14:paraId="555FBB77" w14:textId="77777777" w:rsidR="003F38BB" w:rsidRPr="003F38BB" w:rsidRDefault="003F38BB" w:rsidP="003F38BB">
      <w:r w:rsidRPr="003F38BB">
        <w:rPr>
          <w:b/>
          <w:bCs/>
        </w:rPr>
        <w:t xml:space="preserve">Предложения </w:t>
      </w:r>
      <w:proofErr w:type="spellStart"/>
      <w:r w:rsidRPr="003F38BB">
        <w:rPr>
          <w:b/>
          <w:bCs/>
        </w:rPr>
        <w:t>de</w:t>
      </w:r>
      <w:proofErr w:type="spellEnd"/>
      <w:r w:rsidRPr="003F38BB">
        <w:rPr>
          <w:b/>
          <w:bCs/>
        </w:rPr>
        <w:t xml:space="preserve"> </w:t>
      </w:r>
      <w:proofErr w:type="spellStart"/>
      <w:r w:rsidRPr="003F38BB">
        <w:rPr>
          <w:b/>
          <w:bCs/>
        </w:rPr>
        <w:t>lege</w:t>
      </w:r>
      <w:proofErr w:type="spellEnd"/>
      <w:r w:rsidRPr="003F38BB">
        <w:rPr>
          <w:b/>
          <w:bCs/>
        </w:rPr>
        <w:t xml:space="preserve"> </w:t>
      </w:r>
      <w:proofErr w:type="spellStart"/>
      <w:r w:rsidRPr="003F38BB">
        <w:rPr>
          <w:b/>
          <w:bCs/>
        </w:rPr>
        <w:t>ferenda</w:t>
      </w:r>
      <w:proofErr w:type="spellEnd"/>
      <w:r w:rsidRPr="003F38BB">
        <w:rPr>
          <w:b/>
          <w:bCs/>
        </w:rPr>
        <w:t xml:space="preserve"> и заключение</w:t>
      </w:r>
    </w:p>
    <w:p w14:paraId="54A7972D" w14:textId="77777777" w:rsidR="003F38BB" w:rsidRPr="003F38BB" w:rsidRDefault="003F38BB" w:rsidP="003F38BB">
      <w:pPr>
        <w:numPr>
          <w:ilvl w:val="0"/>
          <w:numId w:val="4"/>
        </w:numPr>
      </w:pPr>
      <w:r w:rsidRPr="003F38BB">
        <w:t xml:space="preserve">Концептуална и </w:t>
      </w:r>
      <w:proofErr w:type="spellStart"/>
      <w:r w:rsidRPr="003F38BB">
        <w:t>правнотехническа</w:t>
      </w:r>
      <w:proofErr w:type="spellEnd"/>
      <w:r w:rsidRPr="003F38BB">
        <w:t xml:space="preserve"> оценка на действащата правна уредба</w:t>
      </w:r>
    </w:p>
    <w:p w14:paraId="3C5F761C" w14:textId="77777777" w:rsidR="003F38BB" w:rsidRPr="003F38BB" w:rsidRDefault="003F38BB" w:rsidP="003F38BB">
      <w:pPr>
        <w:numPr>
          <w:ilvl w:val="0"/>
          <w:numId w:val="4"/>
        </w:numPr>
      </w:pPr>
      <w:r w:rsidRPr="003F38BB">
        <w:t xml:space="preserve">Конкретни предложения </w:t>
      </w:r>
      <w:proofErr w:type="spellStart"/>
      <w:r w:rsidRPr="003F38BB">
        <w:t>de</w:t>
      </w:r>
      <w:proofErr w:type="spellEnd"/>
      <w:r w:rsidRPr="003F38BB">
        <w:t xml:space="preserve"> </w:t>
      </w:r>
      <w:proofErr w:type="spellStart"/>
      <w:r w:rsidRPr="003F38BB">
        <w:t>lege</w:t>
      </w:r>
      <w:proofErr w:type="spellEnd"/>
      <w:r w:rsidRPr="003F38BB">
        <w:t xml:space="preserve"> </w:t>
      </w:r>
      <w:proofErr w:type="spellStart"/>
      <w:r w:rsidRPr="003F38BB">
        <w:t>ferenda</w:t>
      </w:r>
      <w:proofErr w:type="spellEnd"/>
    </w:p>
    <w:p w14:paraId="7A5D2B19" w14:textId="3542E511" w:rsidR="00A825F2" w:rsidRDefault="003F38BB" w:rsidP="003F38BB">
      <w:r w:rsidRPr="003F38BB">
        <w:t>Заключение</w:t>
      </w:r>
      <w:r w:rsidRPr="003F38BB">
        <w:br/>
        <w:t>Библиография</w:t>
      </w:r>
      <w:r w:rsidRPr="003F38BB">
        <w:br/>
        <w:t>Приложение 1. Как се роди тази книга</w:t>
      </w:r>
      <w:r w:rsidRPr="003F38BB">
        <w:br/>
        <w:t>Приложение 2. За кривото правораздаване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3ED"/>
    <w:multiLevelType w:val="multilevel"/>
    <w:tmpl w:val="248E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12D2F"/>
    <w:multiLevelType w:val="multilevel"/>
    <w:tmpl w:val="496C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85F9E"/>
    <w:multiLevelType w:val="multilevel"/>
    <w:tmpl w:val="14E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66484"/>
    <w:multiLevelType w:val="multilevel"/>
    <w:tmpl w:val="DBD6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7D"/>
    <w:rsid w:val="003F38BB"/>
    <w:rsid w:val="004A5C7D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83B10-9590-4070-8358-F5A9D904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2094</Words>
  <Characters>11937</Characters>
  <Application>Microsoft Office Word</Application>
  <DocSecurity>0</DocSecurity>
  <Lines>99</Lines>
  <Paragraphs>28</Paragraphs>
  <ScaleCrop>false</ScaleCrop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2024-06-05T14:12:00Z</dcterms:created>
  <dcterms:modified xsi:type="dcterms:W3CDTF">2024-06-05T14:12:00Z</dcterms:modified>
</cp:coreProperties>
</file>