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3007" w14:textId="77777777" w:rsidR="00131873" w:rsidRPr="00131873" w:rsidRDefault="00131873" w:rsidP="00131873">
      <w:r w:rsidRPr="00131873">
        <w:t>Въведение</w:t>
      </w:r>
      <w:r w:rsidRPr="00131873">
        <w:br/>
      </w:r>
      <w:r w:rsidRPr="00131873">
        <w:rPr>
          <w:b/>
          <w:bCs/>
        </w:rPr>
        <w:t>Македония - ябълката на раздора</w:t>
      </w:r>
    </w:p>
    <w:p w14:paraId="042A39D7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Ябълката на раздора като парадигма на македонския национален разказ</w:t>
      </w:r>
    </w:p>
    <w:p w14:paraId="62F9908B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Македония в контекста на Източния въпрос: гордиевият възел</w:t>
      </w:r>
    </w:p>
    <w:p w14:paraId="1B2B217B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Раздорът в ябълката: ненаучен подход към Македонския въпрос</w:t>
      </w:r>
    </w:p>
    <w:p w14:paraId="60B01E42" w14:textId="77777777" w:rsidR="00131873" w:rsidRPr="00131873" w:rsidRDefault="00131873" w:rsidP="00131873">
      <w:pPr>
        <w:numPr>
          <w:ilvl w:val="1"/>
          <w:numId w:val="1"/>
        </w:numPr>
      </w:pPr>
      <w:r w:rsidRPr="00131873">
        <w:t>Македонската национална политика в края на XIX и началото на XX в.</w:t>
      </w:r>
    </w:p>
    <w:p w14:paraId="5F85BB1E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Солунските атентати</w:t>
      </w:r>
    </w:p>
    <w:p w14:paraId="28685261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Един ключов момент в отношението към Русия</w:t>
      </w:r>
    </w:p>
    <w:p w14:paraId="452D1CF8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Убийството на </w:t>
      </w:r>
      <w:hyperlink r:id="rId5" w:history="1">
        <w:r w:rsidRPr="00131873">
          <w:rPr>
            <w:rStyle w:val="Hyperlink"/>
          </w:rPr>
          <w:t>Стефан Стамболов</w:t>
        </w:r>
      </w:hyperlink>
    </w:p>
    <w:p w14:paraId="6EBD25BD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Балканската война: приносът на Димитър Ризов и Тодор Александров</w:t>
      </w:r>
    </w:p>
    <w:p w14:paraId="695DC715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Македонците в Балканската война</w:t>
      </w:r>
    </w:p>
    <w:p w14:paraId="4DAB618C" w14:textId="77777777" w:rsidR="00131873" w:rsidRPr="00131873" w:rsidRDefault="00131873" w:rsidP="00131873">
      <w:pPr>
        <w:numPr>
          <w:ilvl w:val="2"/>
          <w:numId w:val="1"/>
        </w:numPr>
      </w:pPr>
      <w:r w:rsidRPr="00131873">
        <w:t>Македонската политика по време на Първата световна война</w:t>
      </w:r>
    </w:p>
    <w:p w14:paraId="42CA076F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Следвоенната македонска политика</w:t>
      </w:r>
    </w:p>
    <w:p w14:paraId="5B8C036A" w14:textId="77777777" w:rsidR="00131873" w:rsidRPr="00131873" w:rsidRDefault="00131873" w:rsidP="00131873">
      <w:pPr>
        <w:numPr>
          <w:ilvl w:val="1"/>
          <w:numId w:val="1"/>
        </w:numPr>
      </w:pPr>
      <w:r w:rsidRPr="00131873">
        <w:t>Убийството на Александър Стамболийски</w:t>
      </w:r>
    </w:p>
    <w:p w14:paraId="256BEE66" w14:textId="77777777" w:rsidR="00131873" w:rsidRPr="00131873" w:rsidRDefault="00131873" w:rsidP="00131873">
      <w:pPr>
        <w:numPr>
          <w:ilvl w:val="1"/>
          <w:numId w:val="1"/>
        </w:numPr>
      </w:pPr>
      <w:proofErr w:type="spellStart"/>
      <w:r w:rsidRPr="00131873">
        <w:t>Диригенцията</w:t>
      </w:r>
      <w:proofErr w:type="spellEnd"/>
    </w:p>
    <w:p w14:paraId="38A58051" w14:textId="77777777" w:rsidR="00131873" w:rsidRPr="00131873" w:rsidRDefault="00131873" w:rsidP="00131873">
      <w:pPr>
        <w:numPr>
          <w:ilvl w:val="1"/>
          <w:numId w:val="1"/>
        </w:numPr>
      </w:pPr>
      <w:r w:rsidRPr="00131873">
        <w:t>Убийството на Никола Генадиев</w:t>
      </w:r>
    </w:p>
    <w:p w14:paraId="40388548" w14:textId="77777777" w:rsidR="00131873" w:rsidRPr="00131873" w:rsidRDefault="00131873" w:rsidP="00131873">
      <w:pPr>
        <w:numPr>
          <w:ilvl w:val="1"/>
          <w:numId w:val="1"/>
        </w:numPr>
      </w:pPr>
      <w:r w:rsidRPr="00131873">
        <w:t>Разправията</w:t>
      </w:r>
    </w:p>
    <w:p w14:paraId="535DFD89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Македонската политика по време на Втората световна война</w:t>
      </w:r>
    </w:p>
    <w:p w14:paraId="57D45D90" w14:textId="77777777" w:rsidR="00131873" w:rsidRPr="00131873" w:rsidRDefault="00131873" w:rsidP="00131873">
      <w:pPr>
        <w:numPr>
          <w:ilvl w:val="0"/>
          <w:numId w:val="1"/>
        </w:numPr>
      </w:pPr>
      <w:r w:rsidRPr="00131873">
        <w:t>Преходно обобщение</w:t>
      </w:r>
    </w:p>
    <w:p w14:paraId="091653A1" w14:textId="77777777" w:rsidR="00131873" w:rsidRPr="00131873" w:rsidRDefault="00131873" w:rsidP="00131873">
      <w:r w:rsidRPr="00131873">
        <w:rPr>
          <w:b/>
          <w:bCs/>
        </w:rPr>
        <w:t>Гордиевият възел: Македонският въпрос в научна перспектива</w:t>
      </w:r>
    </w:p>
    <w:p w14:paraId="3892F3B2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Особено необходимо въведение</w:t>
      </w:r>
    </w:p>
    <w:p w14:paraId="789BD3F2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Революционният манталитет</w:t>
      </w:r>
    </w:p>
    <w:p w14:paraId="0D1ED46B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"Елит" и народ</w:t>
      </w:r>
    </w:p>
    <w:p w14:paraId="72C7B6C1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"Народ" и народ</w:t>
      </w:r>
    </w:p>
    <w:p w14:paraId="72BAF88E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Националният въпрос в комунистическата идеология</w:t>
      </w:r>
    </w:p>
    <w:p w14:paraId="09DE55E7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Интернационализмът и национализмът в перипетиите на войната</w:t>
      </w:r>
    </w:p>
    <w:p w14:paraId="31922B34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Диалектиката на процентите</w:t>
      </w:r>
    </w:p>
    <w:p w14:paraId="4F902AC7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Следвоенните репресии</w:t>
      </w:r>
    </w:p>
    <w:p w14:paraId="68C5F9AB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Националната идентичност: базови елементи и диахронна динамика</w:t>
      </w:r>
    </w:p>
    <w:p w14:paraId="0E080C1C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Уникалност на македонската национална идентичност</w:t>
      </w:r>
    </w:p>
    <w:p w14:paraId="65C552BB" w14:textId="77777777" w:rsidR="00131873" w:rsidRPr="00131873" w:rsidRDefault="00131873" w:rsidP="00131873">
      <w:pPr>
        <w:numPr>
          <w:ilvl w:val="1"/>
          <w:numId w:val="2"/>
        </w:numPr>
      </w:pPr>
      <w:r w:rsidRPr="00131873">
        <w:t>На кого принадлежат езиците?</w:t>
      </w:r>
    </w:p>
    <w:p w14:paraId="5E03B17D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lastRenderedPageBreak/>
        <w:t>Как ехото (не) заглъхва</w:t>
      </w:r>
    </w:p>
    <w:p w14:paraId="4EBCF548" w14:textId="77777777" w:rsidR="00131873" w:rsidRPr="00131873" w:rsidRDefault="00131873" w:rsidP="00131873">
      <w:pPr>
        <w:numPr>
          <w:ilvl w:val="1"/>
          <w:numId w:val="2"/>
        </w:numPr>
      </w:pPr>
      <w:r w:rsidRPr="00131873">
        <w:t>Стари и нови генеалогии. Приносът на генетиката</w:t>
      </w:r>
    </w:p>
    <w:p w14:paraId="421AA213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Гоце Делчев, или здравият разум</w:t>
      </w:r>
    </w:p>
    <w:p w14:paraId="12C8815B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Прагматични подходи към Македонският въпрос днес</w:t>
      </w:r>
    </w:p>
    <w:p w14:paraId="31173A5B" w14:textId="77777777" w:rsidR="00131873" w:rsidRPr="00131873" w:rsidRDefault="00131873" w:rsidP="00131873">
      <w:pPr>
        <w:numPr>
          <w:ilvl w:val="1"/>
          <w:numId w:val="2"/>
        </w:numPr>
      </w:pPr>
      <w:r w:rsidRPr="00131873">
        <w:t>Патриотичен подход</w:t>
      </w:r>
    </w:p>
    <w:p w14:paraId="632674AC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Един пренебрегван аспект на най-романтичната част от българската история</w:t>
      </w:r>
    </w:p>
    <w:p w14:paraId="5556CC7D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Империята</w:t>
      </w:r>
    </w:p>
    <w:p w14:paraId="7DEFC7B9" w14:textId="77777777" w:rsidR="00131873" w:rsidRPr="00131873" w:rsidRDefault="00131873" w:rsidP="00131873">
      <w:pPr>
        <w:numPr>
          <w:ilvl w:val="1"/>
          <w:numId w:val="2"/>
        </w:numPr>
      </w:pPr>
      <w:r w:rsidRPr="00131873">
        <w:t>Гражданският подход</w:t>
      </w:r>
    </w:p>
    <w:p w14:paraId="72CE0F1F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Федералистката идея</w:t>
      </w:r>
    </w:p>
    <w:p w14:paraId="66270F78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 xml:space="preserve">Културен синтез или доброволна </w:t>
      </w:r>
      <w:proofErr w:type="spellStart"/>
      <w:r w:rsidRPr="00131873">
        <w:t>акултурация</w:t>
      </w:r>
      <w:proofErr w:type="spellEnd"/>
      <w:r w:rsidRPr="00131873">
        <w:t>?</w:t>
      </w:r>
    </w:p>
    <w:p w14:paraId="03896E80" w14:textId="77777777" w:rsidR="00131873" w:rsidRPr="00131873" w:rsidRDefault="00131873" w:rsidP="00131873">
      <w:pPr>
        <w:numPr>
          <w:ilvl w:val="1"/>
          <w:numId w:val="2"/>
        </w:numPr>
      </w:pPr>
      <w:proofErr w:type="spellStart"/>
      <w:r w:rsidRPr="00131873">
        <w:t>Сциентистки</w:t>
      </w:r>
      <w:proofErr w:type="spellEnd"/>
      <w:r w:rsidRPr="00131873">
        <w:t xml:space="preserve"> подход</w:t>
      </w:r>
    </w:p>
    <w:p w14:paraId="4A60DA4C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Договори и процеси</w:t>
      </w:r>
    </w:p>
    <w:p w14:paraId="00A37F7D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 xml:space="preserve">Конфликтът между основните </w:t>
      </w:r>
      <w:proofErr w:type="spellStart"/>
      <w:r w:rsidRPr="00131873">
        <w:t>универсализми</w:t>
      </w:r>
      <w:proofErr w:type="spellEnd"/>
    </w:p>
    <w:p w14:paraId="1B5E84C7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Кое е руското в руския комунизъм?</w:t>
      </w:r>
    </w:p>
    <w:p w14:paraId="141879C6" w14:textId="77777777" w:rsidR="00131873" w:rsidRPr="00131873" w:rsidRDefault="00131873" w:rsidP="00131873">
      <w:pPr>
        <w:numPr>
          <w:ilvl w:val="2"/>
          <w:numId w:val="2"/>
        </w:numPr>
      </w:pPr>
      <w:r w:rsidRPr="00131873">
        <w:t>Европейско пренаписване на българската национална идентичност</w:t>
      </w:r>
    </w:p>
    <w:p w14:paraId="0A0457BE" w14:textId="77777777" w:rsidR="00131873" w:rsidRPr="00131873" w:rsidRDefault="00131873" w:rsidP="00131873">
      <w:pPr>
        <w:numPr>
          <w:ilvl w:val="0"/>
          <w:numId w:val="2"/>
        </w:numPr>
      </w:pPr>
      <w:r w:rsidRPr="00131873">
        <w:t>Национализмът на застрашените: повърхностна прилика, съществена разлика</w:t>
      </w:r>
    </w:p>
    <w:p w14:paraId="25D03021" w14:textId="63A6D5B2" w:rsidR="00A825F2" w:rsidRDefault="00131873" w:rsidP="00131873">
      <w:r w:rsidRPr="00131873">
        <w:t>Заключение</w:t>
      </w:r>
      <w:r w:rsidRPr="00131873">
        <w:br/>
        <w:t>Библиография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74277"/>
    <w:multiLevelType w:val="multilevel"/>
    <w:tmpl w:val="0738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37293"/>
    <w:multiLevelType w:val="multilevel"/>
    <w:tmpl w:val="7AAE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18"/>
    <w:rsid w:val="00131873"/>
    <w:rsid w:val="0089545E"/>
    <w:rsid w:val="00D24418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1FC05-28F3-4539-A349-AA0F6D1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store.bg/c/p-pc/id-12072/knigi-ot-stefan-stambol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2024-10-30T08:40:00Z</dcterms:created>
  <dcterms:modified xsi:type="dcterms:W3CDTF">2024-10-30T08:40:00Z</dcterms:modified>
</cp:coreProperties>
</file>