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8684" w14:textId="77777777" w:rsidR="00AC4625" w:rsidRPr="00AC4625" w:rsidRDefault="00AC4625" w:rsidP="00AC4625">
      <w:r w:rsidRPr="00AC4625">
        <w:t>Списък на фигурите и таблиците</w:t>
      </w:r>
      <w:r w:rsidRPr="00AC4625">
        <w:br/>
        <w:t>Увод</w:t>
      </w:r>
      <w:r w:rsidRPr="00AC4625">
        <w:br/>
      </w:r>
      <w:proofErr w:type="spellStart"/>
      <w:r w:rsidRPr="00AC4625">
        <w:t>Introduction</w:t>
      </w:r>
      <w:proofErr w:type="spellEnd"/>
      <w:r w:rsidRPr="00AC4625">
        <w:br/>
      </w:r>
      <w:r w:rsidRPr="00AC4625">
        <w:rPr>
          <w:b/>
          <w:bCs/>
        </w:rPr>
        <w:t>Източници на правото в областта на управлението и контрола на средствата от ЕСИФ / ЕФСУ. Основни понятия</w:t>
      </w:r>
    </w:p>
    <w:p w14:paraId="36966586" w14:textId="77777777" w:rsidR="00AC4625" w:rsidRPr="00AC4625" w:rsidRDefault="00AC4625" w:rsidP="00AC4625">
      <w:pPr>
        <w:numPr>
          <w:ilvl w:val="0"/>
          <w:numId w:val="1"/>
        </w:numPr>
      </w:pPr>
      <w:r w:rsidRPr="00AC4625">
        <w:t>Постановка на въпроса</w:t>
      </w:r>
    </w:p>
    <w:p w14:paraId="42C18AEA" w14:textId="77777777" w:rsidR="00AC4625" w:rsidRPr="00AC4625" w:rsidRDefault="00AC4625" w:rsidP="00AC4625">
      <w:pPr>
        <w:numPr>
          <w:ilvl w:val="0"/>
          <w:numId w:val="1"/>
        </w:numPr>
      </w:pPr>
      <w:r w:rsidRPr="00AC4625">
        <w:t>Източници на правото</w:t>
      </w:r>
    </w:p>
    <w:p w14:paraId="15FB068E" w14:textId="77777777" w:rsidR="00AC4625" w:rsidRPr="00AC4625" w:rsidRDefault="00AC4625" w:rsidP="00AC4625">
      <w:pPr>
        <w:numPr>
          <w:ilvl w:val="1"/>
          <w:numId w:val="1"/>
        </w:numPr>
      </w:pPr>
      <w:r w:rsidRPr="00AC4625">
        <w:t>Първично право на Европейския съюз</w:t>
      </w:r>
    </w:p>
    <w:p w14:paraId="5A373D5E" w14:textId="77777777" w:rsidR="00AC4625" w:rsidRPr="00AC4625" w:rsidRDefault="00AC4625" w:rsidP="00AC4625">
      <w:pPr>
        <w:numPr>
          <w:ilvl w:val="1"/>
          <w:numId w:val="1"/>
        </w:numPr>
      </w:pPr>
      <w:r w:rsidRPr="00AC4625">
        <w:t>Вторично право на ЕС</w:t>
      </w:r>
    </w:p>
    <w:p w14:paraId="143A1971" w14:textId="77777777" w:rsidR="00AC4625" w:rsidRPr="00AC4625" w:rsidRDefault="00AC4625" w:rsidP="00AC4625">
      <w:pPr>
        <w:numPr>
          <w:ilvl w:val="1"/>
          <w:numId w:val="1"/>
        </w:numPr>
      </w:pPr>
      <w:r w:rsidRPr="00AC4625">
        <w:t>Национално законодателство</w:t>
      </w:r>
    </w:p>
    <w:p w14:paraId="13EEB2CF" w14:textId="77777777" w:rsidR="00AC4625" w:rsidRPr="00AC4625" w:rsidRDefault="00AC4625" w:rsidP="00AC4625">
      <w:pPr>
        <w:numPr>
          <w:ilvl w:val="1"/>
          <w:numId w:val="1"/>
        </w:numPr>
      </w:pPr>
      <w:r w:rsidRPr="00AC4625">
        <w:t>Практика на националните административни съдилища и Съда на Европейския съюз</w:t>
      </w:r>
    </w:p>
    <w:p w14:paraId="474E6FDD" w14:textId="77777777" w:rsidR="00AC4625" w:rsidRPr="00AC4625" w:rsidRDefault="00AC4625" w:rsidP="00AC4625">
      <w:pPr>
        <w:numPr>
          <w:ilvl w:val="0"/>
          <w:numId w:val="1"/>
        </w:numPr>
      </w:pPr>
      <w:r w:rsidRPr="00AC4625">
        <w:t>Стратегически документ</w:t>
      </w:r>
    </w:p>
    <w:p w14:paraId="272641C3" w14:textId="77777777" w:rsidR="00AC4625" w:rsidRPr="00AC4625" w:rsidRDefault="00AC4625" w:rsidP="00AC4625">
      <w:pPr>
        <w:numPr>
          <w:ilvl w:val="0"/>
          <w:numId w:val="1"/>
        </w:numPr>
      </w:pPr>
      <w:r w:rsidRPr="00AC4625">
        <w:t>Основни понятия</w:t>
      </w:r>
    </w:p>
    <w:p w14:paraId="01B58C77" w14:textId="77777777" w:rsidR="00AC4625" w:rsidRPr="00AC4625" w:rsidRDefault="00AC4625" w:rsidP="00AC4625">
      <w:pPr>
        <w:numPr>
          <w:ilvl w:val="0"/>
          <w:numId w:val="1"/>
        </w:numPr>
      </w:pPr>
      <w:r w:rsidRPr="00AC4625">
        <w:t>Препоръчителна литература</w:t>
      </w:r>
    </w:p>
    <w:p w14:paraId="2CDA74AB" w14:textId="77777777" w:rsidR="00AC4625" w:rsidRPr="00AC4625" w:rsidRDefault="00AC4625" w:rsidP="00AC4625">
      <w:pPr>
        <w:numPr>
          <w:ilvl w:val="0"/>
          <w:numId w:val="1"/>
        </w:numPr>
      </w:pPr>
      <w:r w:rsidRPr="00AC4625">
        <w:t>Контролни въпроси</w:t>
      </w:r>
    </w:p>
    <w:p w14:paraId="53BA89E1" w14:textId="77777777" w:rsidR="00AC4625" w:rsidRPr="00AC4625" w:rsidRDefault="00AC4625" w:rsidP="00AC4625">
      <w:r w:rsidRPr="00AC4625">
        <w:rPr>
          <w:b/>
          <w:bCs/>
        </w:rPr>
        <w:t>Финансов контрол и одит в системата на публичните средства от ЕСИФ / ЕФСУ</w:t>
      </w:r>
    </w:p>
    <w:p w14:paraId="364871B4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Постановка на въпроса</w:t>
      </w:r>
    </w:p>
    <w:p w14:paraId="143ECEA0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Принципи на управление на средствата от ЕСИФ / ЕФСУ и националните публични средства</w:t>
      </w:r>
    </w:p>
    <w:p w14:paraId="4889877F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Понятие за финансов контрол и одит в публичния сектор и в системата на ЕСИФ / ЕФСУ</w:t>
      </w:r>
    </w:p>
    <w:p w14:paraId="5F1FF5E4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Вътрешен контрол в публичния сектор и в системата на ЕСИФ / ЕФСУ</w:t>
      </w:r>
    </w:p>
    <w:p w14:paraId="6829151A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Вътрешен одит в публичния сектор и в системата на ЕСИФ / ЕФСУ</w:t>
      </w:r>
    </w:p>
    <w:p w14:paraId="0B1B6828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Външен одит в публичния сектор</w:t>
      </w:r>
    </w:p>
    <w:p w14:paraId="3577749D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Последващ контрол за законосъобразност, осъществяван от АДФИ</w:t>
      </w:r>
    </w:p>
    <w:p w14:paraId="42C179B6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Агенция по обществени поръчки</w:t>
      </w:r>
    </w:p>
    <w:p w14:paraId="13670A52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Специализирани органи за управление, контрол и одит на средствата по ЕФСУ</w:t>
      </w:r>
    </w:p>
    <w:p w14:paraId="73039F0A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Специализирани органи за контрол и одит на средствата от европейските земеделски фондове</w:t>
      </w:r>
    </w:p>
    <w:p w14:paraId="6CF925C3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Препоръчителна литература</w:t>
      </w:r>
    </w:p>
    <w:p w14:paraId="2D2A8FAB" w14:textId="77777777" w:rsidR="00AC4625" w:rsidRPr="00AC4625" w:rsidRDefault="00AC4625" w:rsidP="00AC4625">
      <w:pPr>
        <w:numPr>
          <w:ilvl w:val="0"/>
          <w:numId w:val="2"/>
        </w:numPr>
      </w:pPr>
      <w:r w:rsidRPr="00AC4625">
        <w:t>Контролни въпроси</w:t>
      </w:r>
    </w:p>
    <w:p w14:paraId="54D66744" w14:textId="77777777" w:rsidR="00AC4625" w:rsidRPr="00AC4625" w:rsidRDefault="00AC4625" w:rsidP="00AC4625">
      <w:r w:rsidRPr="00AC4625">
        <w:rPr>
          <w:b/>
          <w:bCs/>
        </w:rPr>
        <w:t>Мерки за защита на финансовите интереси на ЕС при управлението и контрола на средствата от ЕСИФ / ЕФСУ</w:t>
      </w:r>
    </w:p>
    <w:p w14:paraId="404474DE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t>Постановка на въпроса</w:t>
      </w:r>
    </w:p>
    <w:p w14:paraId="1D444856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lastRenderedPageBreak/>
        <w:t>Мерки за защита на бюджета на ЕС, предприемани от ЕК, в случай на нарушения на принципите на правовата държава</w:t>
      </w:r>
    </w:p>
    <w:p w14:paraId="5F97BCFE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Относно върховенството на закона</w:t>
      </w:r>
    </w:p>
    <w:p w14:paraId="5B3A4D7D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Механизъм за условност, прилаган от ЕК</w:t>
      </w:r>
    </w:p>
    <w:p w14:paraId="66BB9FDB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t>Мерки за защита, водещи до спиране на плащания, отмяна на принос и други при споделено управление</w:t>
      </w:r>
    </w:p>
    <w:p w14:paraId="46F08088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Механизъм на отключващите условия, прилаган от ЕК</w:t>
      </w:r>
    </w:p>
    <w:p w14:paraId="137FB16F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Мерки, свързани с доброто икономическо управление и с изключителни или необичайни обстоятелства, прилагани от ЕК</w:t>
      </w:r>
    </w:p>
    <w:p w14:paraId="24C6A281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Прекъсване и спиране на срока за плащанията от ЕК</w:t>
      </w:r>
    </w:p>
    <w:p w14:paraId="7354E4A9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Финансови корекции, прилагани от държавите членки</w:t>
      </w:r>
    </w:p>
    <w:p w14:paraId="1AD51145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Финансови корекции, прилагани от ЕК</w:t>
      </w:r>
    </w:p>
    <w:p w14:paraId="7B0450DD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t>Верификация на допустимите разходи като начин за защита на финансовите интереси на ЕС и форма на контрол на ЕФСУ</w:t>
      </w:r>
    </w:p>
    <w:p w14:paraId="6F9F3574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Допустимост на разходите</w:t>
      </w:r>
    </w:p>
    <w:p w14:paraId="49D2970E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Плащания, верифициране и отчитане на разходи</w:t>
      </w:r>
    </w:p>
    <w:p w14:paraId="2EF9CDED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t>Нередности и финансови корекции, засягащи финансовите интереси на ЕС при споделеното управление</w:t>
      </w:r>
    </w:p>
    <w:p w14:paraId="405DCEC5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>Постановка на въпроса</w:t>
      </w:r>
    </w:p>
    <w:p w14:paraId="69D234F4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 xml:space="preserve">Защита срещу нередностите и измамите по </w:t>
      </w:r>
      <w:proofErr w:type="spellStart"/>
      <w:r w:rsidRPr="00AC4625">
        <w:t>наказателноправен</w:t>
      </w:r>
      <w:proofErr w:type="spellEnd"/>
      <w:r w:rsidRPr="00AC4625">
        <w:t xml:space="preserve"> ред</w:t>
      </w:r>
    </w:p>
    <w:p w14:paraId="4046693B" w14:textId="77777777" w:rsidR="00AC4625" w:rsidRPr="00AC4625" w:rsidRDefault="00AC4625" w:rsidP="00AC4625">
      <w:pPr>
        <w:numPr>
          <w:ilvl w:val="1"/>
          <w:numId w:val="3"/>
        </w:numPr>
      </w:pPr>
      <w:r w:rsidRPr="00AC4625">
        <w:t xml:space="preserve">Защита срещу нередностите и измамите по </w:t>
      </w:r>
      <w:proofErr w:type="spellStart"/>
      <w:r w:rsidRPr="00AC4625">
        <w:t>административноправен</w:t>
      </w:r>
      <w:proofErr w:type="spellEnd"/>
      <w:r w:rsidRPr="00AC4625">
        <w:t xml:space="preserve"> ред</w:t>
      </w:r>
    </w:p>
    <w:p w14:paraId="683FC82F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t>Препоръчителна литература</w:t>
      </w:r>
    </w:p>
    <w:p w14:paraId="71EFA569" w14:textId="77777777" w:rsidR="00AC4625" w:rsidRPr="00AC4625" w:rsidRDefault="00AC4625" w:rsidP="00AC4625">
      <w:pPr>
        <w:numPr>
          <w:ilvl w:val="0"/>
          <w:numId w:val="3"/>
        </w:numPr>
      </w:pPr>
      <w:r w:rsidRPr="00AC4625">
        <w:t>Контролни въпроси</w:t>
      </w:r>
    </w:p>
    <w:p w14:paraId="11A9B465" w14:textId="77777777" w:rsidR="00AC4625" w:rsidRPr="00AC4625" w:rsidRDefault="00AC4625" w:rsidP="00AC4625">
      <w:r w:rsidRPr="00AC4625">
        <w:t>Библиография</w:t>
      </w:r>
      <w:r w:rsidRPr="00AC4625">
        <w:br/>
      </w:r>
      <w:r w:rsidRPr="00AC4625">
        <w:rPr>
          <w:b/>
          <w:bCs/>
        </w:rPr>
        <w:t>Приложения</w:t>
      </w:r>
    </w:p>
    <w:p w14:paraId="367A34EC" w14:textId="77777777" w:rsidR="00AC4625" w:rsidRPr="00AC4625" w:rsidRDefault="00AC4625" w:rsidP="00AC4625">
      <w:pPr>
        <w:numPr>
          <w:ilvl w:val="0"/>
          <w:numId w:val="4"/>
        </w:numPr>
      </w:pPr>
      <w:r w:rsidRPr="00AC4625">
        <w:t xml:space="preserve">Практика на </w:t>
      </w:r>
      <w:proofErr w:type="spellStart"/>
      <w:r w:rsidRPr="00AC4625">
        <w:t>административите</w:t>
      </w:r>
      <w:proofErr w:type="spellEnd"/>
      <w:r w:rsidRPr="00AC4625">
        <w:t xml:space="preserve"> съдилища като касационна инстанция по ЗАНН по дела на </w:t>
      </w:r>
      <w:proofErr w:type="spellStart"/>
      <w:r w:rsidRPr="00AC4625">
        <w:t>административнонаказващите</w:t>
      </w:r>
      <w:proofErr w:type="spellEnd"/>
      <w:r w:rsidRPr="00AC4625">
        <w:t xml:space="preserve"> органи по Закона за обществените поръчки за 2024 г.</w:t>
      </w:r>
    </w:p>
    <w:p w14:paraId="094D1E59" w14:textId="418B6419" w:rsidR="00AC4625" w:rsidRPr="00AC4625" w:rsidRDefault="00AC4625" w:rsidP="00AC4625">
      <w:pPr>
        <w:numPr>
          <w:ilvl w:val="0"/>
          <w:numId w:val="4"/>
        </w:numPr>
      </w:pPr>
      <w:r w:rsidRPr="00AC4625">
        <w:t>Наредба за посочване на нередности, представляващи основания за извършване на финансови корекции, и процентните показатели за определяне на финансовите корекции по реда на Закона за управление на средствата от Европейските фондове при споделено управление (Загл. изм. - ДВ, бр. 59 от 2024 г.</w:t>
      </w:r>
      <w:r w:rsidR="00180F73">
        <w:t>)</w:t>
      </w:r>
      <w:bookmarkStart w:id="0" w:name="_GoBack"/>
      <w:bookmarkEnd w:id="0"/>
    </w:p>
    <w:p w14:paraId="6E920349" w14:textId="77777777" w:rsidR="00AC4625" w:rsidRPr="00AC4625" w:rsidRDefault="00AC4625" w:rsidP="00AC4625">
      <w:pPr>
        <w:numPr>
          <w:ilvl w:val="0"/>
          <w:numId w:val="4"/>
        </w:numPr>
      </w:pPr>
      <w:r w:rsidRPr="00AC4625">
        <w:t xml:space="preserve">Практика на Върховния административен съд на Република България - Седмо отделение, по нередности и финансови корекции по ЗУСЕФСУ (с основания чл. 70, ал. 1) във връзка с Наредба за посочване на нередности, представляващи основания за извършване на финансови корекции, и процентните показатели за определяне размера </w:t>
      </w:r>
      <w:r w:rsidRPr="00AC4625">
        <w:lastRenderedPageBreak/>
        <w:t>на финансовите корекции по реда на Закона за управление на средствата по Европейските фондове при споделено управление</w:t>
      </w:r>
    </w:p>
    <w:p w14:paraId="7295083E" w14:textId="77777777" w:rsidR="00AC4625" w:rsidRPr="00AC4625" w:rsidRDefault="00AC4625" w:rsidP="00AC4625">
      <w:pPr>
        <w:numPr>
          <w:ilvl w:val="0"/>
          <w:numId w:val="4"/>
        </w:numPr>
      </w:pPr>
      <w:r w:rsidRPr="00AC4625">
        <w:t>Казуси</w:t>
      </w:r>
    </w:p>
    <w:p w14:paraId="5A6A351F" w14:textId="77777777" w:rsidR="00AC4625" w:rsidRPr="00AC4625" w:rsidRDefault="00AC4625" w:rsidP="00AC4625">
      <w:pPr>
        <w:numPr>
          <w:ilvl w:val="0"/>
          <w:numId w:val="4"/>
        </w:numPr>
      </w:pPr>
      <w:r w:rsidRPr="00AC4625">
        <w:t>Тест</w:t>
      </w:r>
    </w:p>
    <w:p w14:paraId="3784D72E" w14:textId="77777777" w:rsidR="00AC4625" w:rsidRPr="00AC4625" w:rsidRDefault="00AC4625" w:rsidP="00AC4625">
      <w:pPr>
        <w:numPr>
          <w:ilvl w:val="0"/>
          <w:numId w:val="4"/>
        </w:numPr>
      </w:pPr>
      <w:r w:rsidRPr="00AC4625">
        <w:t>Практика на Върховния административен съд на Република България по казуси по проекти, финансирани по Програмата за развитие на селските райони (ПРСР) за програмен период 2014 - 2020 г.</w:t>
      </w:r>
    </w:p>
    <w:p w14:paraId="313F3E71" w14:textId="77777777" w:rsidR="00A825F2" w:rsidRDefault="00180F73"/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6AED"/>
    <w:multiLevelType w:val="multilevel"/>
    <w:tmpl w:val="9822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60704"/>
    <w:multiLevelType w:val="multilevel"/>
    <w:tmpl w:val="97D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44299"/>
    <w:multiLevelType w:val="multilevel"/>
    <w:tmpl w:val="4CD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14C3F"/>
    <w:multiLevelType w:val="multilevel"/>
    <w:tmpl w:val="A60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9"/>
    <w:rsid w:val="00180F73"/>
    <w:rsid w:val="004A7B79"/>
    <w:rsid w:val="0089545E"/>
    <w:rsid w:val="00AC4625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889A"/>
  <w15:chartTrackingRefBased/>
  <w15:docId w15:val="{F05C5244-A354-4607-9D20-786FB4A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3</cp:revision>
  <dcterms:created xsi:type="dcterms:W3CDTF">2025-03-21T08:37:00Z</dcterms:created>
  <dcterms:modified xsi:type="dcterms:W3CDTF">2025-03-21T08:37:00Z</dcterms:modified>
</cp:coreProperties>
</file>