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C42C" w14:textId="77777777" w:rsidR="00CD4ADE" w:rsidRPr="00CD4ADE" w:rsidRDefault="00CD4ADE" w:rsidP="00CD4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Използвани съкращения</w:t>
      </w: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br/>
      </w:r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Предговор</w:t>
      </w: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br/>
      </w:r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Въведение</w:t>
      </w: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br/>
      </w:r>
      <w:r w:rsidRPr="00CD4ADE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  <w:lang w:eastAsia="bg-BG"/>
        </w:rPr>
        <w:t>Забраната за дискриминация в практиката на ЕСПЧ</w:t>
      </w:r>
    </w:p>
    <w:p w14:paraId="1AC1ADB2" w14:textId="77777777" w:rsidR="00CD4ADE" w:rsidRPr="00CD4ADE" w:rsidRDefault="00CD4ADE" w:rsidP="00CD4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Обхват и действие на забраната за дискриминация в практиката на ЕСПЧ - от Пепеляшка на Конвенцията до автономно прилагане</w:t>
      </w:r>
    </w:p>
    <w:p w14:paraId="133133BF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Акцесорен характер на разпоредбата на чл. 14 от ЕКПЧ</w:t>
      </w:r>
    </w:p>
    <w:p w14:paraId="619AF50F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Автономно действие на разпоредбата на чл. 14 от ЕКПЧ</w:t>
      </w:r>
    </w:p>
    <w:p w14:paraId="10B83604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Форми на дискриминация съгласно практиката на ЕСПЧ</w:t>
      </w:r>
    </w:p>
    <w:p w14:paraId="05FCEAB5" w14:textId="77777777" w:rsidR="00CD4ADE" w:rsidRPr="00CD4ADE" w:rsidRDefault="00CD4ADE" w:rsidP="00CD4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Форми на дискриминация</w:t>
      </w:r>
    </w:p>
    <w:p w14:paraId="52C4DE85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Пряка дискриминация</w:t>
      </w:r>
    </w:p>
    <w:p w14:paraId="65997A11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Непряка дискриминация</w:t>
      </w:r>
    </w:p>
    <w:p w14:paraId="4BECD1A4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Позитивна дискриминация</w:t>
      </w:r>
    </w:p>
    <w:p w14:paraId="573356E5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асоциация</w:t>
      </w:r>
    </w:p>
    <w:p w14:paraId="6799729F" w14:textId="77777777" w:rsidR="00CD4ADE" w:rsidRPr="00CD4ADE" w:rsidRDefault="00CD4ADE" w:rsidP="00CD4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Протокол № 12 към Европейската конвенция за защита правата на човека в практиката на ЕСПЧ</w:t>
      </w:r>
    </w:p>
    <w:p w14:paraId="04CF1907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Въвеждане на обща забрана за дискриминация съгласно чл. 1, § 1 от Протокол № 12 към ЕКПЧ</w:t>
      </w:r>
    </w:p>
    <w:p w14:paraId="17FFDE2A" w14:textId="77777777" w:rsidR="00CD4ADE" w:rsidRPr="00CD4ADE" w:rsidRDefault="00CD4ADE" w:rsidP="00CD4AD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Предизвикателства пред прилагането на Протокол № 12 към ЕКПЧ</w:t>
      </w:r>
    </w:p>
    <w:p w14:paraId="4DFAA2B6" w14:textId="77777777" w:rsidR="00CD4ADE" w:rsidRPr="00CD4ADE" w:rsidRDefault="00CD4ADE" w:rsidP="00CD4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ADE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  <w:lang w:eastAsia="bg-BG"/>
        </w:rPr>
        <w:t>Практика на ЕСПЧ при защита от дискриминация съгласно чл. 14 от ЕКПЧ - основни положения</w:t>
      </w:r>
    </w:p>
    <w:p w14:paraId="2340F576" w14:textId="77777777" w:rsidR="00CD4ADE" w:rsidRPr="00CD4ADE" w:rsidRDefault="00CD4ADE" w:rsidP="00CD4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Чл. 14 от ЕКПЧ в системата на правата и свободите, установени в ЕКПЧ</w:t>
      </w:r>
    </w:p>
    <w:p w14:paraId="0E158570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Практика на ЕСПЧ по прилагане на комплексния характер на чл. 14 от ЕКПЧ</w:t>
      </w:r>
    </w:p>
    <w:p w14:paraId="6AACDDCC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Практика на ЕСПЧ по защита на правото на равно третиране (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недискриминация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) като самостоятелно и основно човешко право съгласно чл. 14 от ЕКПЧ</w:t>
      </w:r>
    </w:p>
    <w:p w14:paraId="04C5B939" w14:textId="77777777" w:rsidR="00CD4ADE" w:rsidRPr="00CD4ADE" w:rsidRDefault="00CD4ADE" w:rsidP="00CD4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Критерият за дискриминация в практиката на ЕСПЧ</w:t>
      </w:r>
    </w:p>
    <w:p w14:paraId="305F7894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Допустима разлика в третирането</w:t>
      </w:r>
    </w:p>
    <w:p w14:paraId="59A19A6F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Обективно и разумно оправдание на различното третиране - легитимна цел и пропорционалност</w:t>
      </w:r>
    </w:p>
    <w:p w14:paraId="27AE77E8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Процесуални аспекти на защитата от дискриминация пред ЕСПЧ</w:t>
      </w:r>
    </w:p>
    <w:p w14:paraId="6B3AC21D" w14:textId="77777777" w:rsidR="00CD4ADE" w:rsidRPr="00CD4ADE" w:rsidRDefault="00CD4ADE" w:rsidP="00CD4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защитен признак в практиката на ЕСПЧ</w:t>
      </w:r>
    </w:p>
    <w:p w14:paraId="4835D3A3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пол</w:t>
      </w:r>
    </w:p>
    <w:p w14:paraId="5404ECDB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раса и цвят на кожата</w:t>
      </w:r>
    </w:p>
    <w:p w14:paraId="5BFF62D3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език</w:t>
      </w:r>
    </w:p>
    <w:p w14:paraId="6F7F2D9D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религия</w:t>
      </w:r>
    </w:p>
    <w:p w14:paraId="7D05CEA0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политическо или друго мнение</w:t>
      </w:r>
    </w:p>
    <w:p w14:paraId="62D4D439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национален или социален произход</w:t>
      </w:r>
    </w:p>
    <w:p w14:paraId="19DE718A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принадлежност към национално малцинство</w:t>
      </w:r>
    </w:p>
    <w:p w14:paraId="05B68504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имущество</w:t>
      </w:r>
    </w:p>
    <w:p w14:paraId="4619A1AD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признак рождение</w:t>
      </w:r>
    </w:p>
    <w:p w14:paraId="605C3EAA" w14:textId="77777777" w:rsidR="00CD4ADE" w:rsidRPr="00CD4ADE" w:rsidRDefault="00CD4ADE" w:rsidP="00CD4A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по друг признак</w:t>
      </w:r>
    </w:p>
    <w:p w14:paraId="4DDCF146" w14:textId="77777777" w:rsidR="00CD4ADE" w:rsidRPr="00CD4ADE" w:rsidRDefault="00CD4ADE" w:rsidP="00CD4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4ADE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  <w:lang w:eastAsia="bg-BG"/>
        </w:rPr>
        <w:lastRenderedPageBreak/>
        <w:t>Преглед и коментар на практиката на ЕСПЧ по дела срещу България при прилагане на чл. 14 от ЕКПЧ</w:t>
      </w:r>
    </w:p>
    <w:p w14:paraId="3020EB63" w14:textId="77777777" w:rsidR="00CD4ADE" w:rsidRPr="00CD4ADE" w:rsidRDefault="00CD4ADE" w:rsidP="00CD4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Методология на систематизиране на делата срещу България пред ЕСПЧ за дискриминация</w:t>
      </w:r>
    </w:p>
    <w:p w14:paraId="79F31073" w14:textId="77777777" w:rsidR="00CD4ADE" w:rsidRPr="00CD4ADE" w:rsidRDefault="00CD4ADE" w:rsidP="00CD4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чрез насилие по расистки подбуди - прилагане на чл. 14 във връзка с чл. 2 и чл. 3 от ЕКПЧ</w:t>
      </w:r>
    </w:p>
    <w:p w14:paraId="7CCB03A9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Начова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и други срещу България</w:t>
      </w:r>
    </w:p>
    <w:p w14:paraId="13585C37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Абду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срещу България</w:t>
      </w:r>
    </w:p>
    <w:p w14:paraId="3FD65A29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А. Е. срещу България</w:t>
      </w:r>
    </w:p>
    <w:p w14:paraId="1D4DA8DE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Ангелова и Илиев срещу България</w:t>
      </w:r>
    </w:p>
    <w:p w14:paraId="47541B8C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Йотова срещу България</w:t>
      </w:r>
    </w:p>
    <w:p w14:paraId="00B1ADF8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Стоянова срещу България</w:t>
      </w:r>
    </w:p>
    <w:p w14:paraId="3B6BA9FB" w14:textId="77777777" w:rsidR="00CD4ADE" w:rsidRPr="00CD4ADE" w:rsidRDefault="00CD4ADE" w:rsidP="00CD4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при упражняване на правото на справедлив съдебен процес съгласно чл. 6 от ЕКПЧ</w:t>
      </w:r>
    </w:p>
    <w:p w14:paraId="2C64E671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Параскева Тодорова срещу България</w:t>
      </w:r>
    </w:p>
    <w:p w14:paraId="35E93D57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Огнянова и Чобан срещу България</w:t>
      </w:r>
    </w:p>
    <w:p w14:paraId="4FE30699" w14:textId="77777777" w:rsidR="00CD4ADE" w:rsidRPr="00CD4ADE" w:rsidRDefault="00CD4ADE" w:rsidP="00CD4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при упражняване на правото на образование и правото на мирно ползване на притежанията съгласно Протокол №1 към ЕКПЧ</w:t>
      </w:r>
    </w:p>
    <w:p w14:paraId="53810D2C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Пономарьови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срещу България</w:t>
      </w:r>
    </w:p>
    <w:p w14:paraId="18E338EA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Айдаров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и други срещу България</w:t>
      </w:r>
    </w:p>
    <w:p w14:paraId="600B1A02" w14:textId="77777777" w:rsidR="00CD4ADE" w:rsidRPr="00CD4ADE" w:rsidRDefault="00CD4ADE" w:rsidP="00CD4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Дискриминация при упражняване на правото на личен живот съгласно чл. 8 от ЕКПЧ</w:t>
      </w:r>
    </w:p>
    <w:p w14:paraId="24F1B6FD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Бехар и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Гутман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срещу България</w:t>
      </w:r>
    </w:p>
    <w:p w14:paraId="6805CFD7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Будинова и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Чапразов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срещу България</w:t>
      </w:r>
    </w:p>
    <w:p w14:paraId="42035355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Делото </w:t>
      </w:r>
      <w:proofErr w:type="spellStart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Пакетова</w:t>
      </w:r>
      <w:proofErr w:type="spellEnd"/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 xml:space="preserve"> и други срещу България</w:t>
      </w:r>
    </w:p>
    <w:p w14:paraId="14A0B0C2" w14:textId="77777777" w:rsidR="00CD4ADE" w:rsidRPr="00CD4ADE" w:rsidRDefault="00CD4ADE" w:rsidP="00CD4A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</w:pP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t>Делото Йочева и Ганева срещу България</w:t>
      </w:r>
    </w:p>
    <w:p w14:paraId="090DE0C8" w14:textId="73A9C3E3" w:rsidR="00A825F2" w:rsidRDefault="00CD4ADE" w:rsidP="00CD4ADE"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Заключение</w:t>
      </w: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br/>
      </w:r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Библиография</w:t>
      </w:r>
      <w:r w:rsidRPr="00CD4ADE">
        <w:rPr>
          <w:rFonts w:ascii="Segoe UI" w:eastAsia="Times New Roman" w:hAnsi="Segoe UI" w:cs="Segoe UI"/>
          <w:color w:val="333333"/>
          <w:sz w:val="23"/>
          <w:szCs w:val="23"/>
          <w:lang w:eastAsia="bg-BG"/>
        </w:rPr>
        <w:br/>
      </w:r>
      <w:r w:rsidRPr="00CD4ADE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bg-BG"/>
        </w:rPr>
        <w:t>Цитирана съдебна практика на Европейския съд по правата на човека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4180"/>
    <w:multiLevelType w:val="multilevel"/>
    <w:tmpl w:val="33B0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625C"/>
    <w:multiLevelType w:val="multilevel"/>
    <w:tmpl w:val="46B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B2B86"/>
    <w:multiLevelType w:val="multilevel"/>
    <w:tmpl w:val="E0EE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EE"/>
    <w:rsid w:val="007449EE"/>
    <w:rsid w:val="0089545E"/>
    <w:rsid w:val="00CD4ADE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E6D1A-6B18-4F14-A64B-56C5F28D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2025-08-08T08:57:00Z</dcterms:created>
  <dcterms:modified xsi:type="dcterms:W3CDTF">2025-08-08T08:57:00Z</dcterms:modified>
</cp:coreProperties>
</file>